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DF5E8" w14:textId="56792255" w:rsidR="00C50FF2" w:rsidRDefault="00C50FF2" w:rsidP="00573924">
      <w:pPr>
        <w:jc w:val="center"/>
        <w:rPr>
          <w:i/>
          <w:sz w:val="24"/>
          <w:szCs w:val="24"/>
        </w:rPr>
      </w:pPr>
    </w:p>
    <w:p w14:paraId="68D263B0" w14:textId="77777777" w:rsidR="00757B4C" w:rsidRDefault="00757B4C" w:rsidP="00BC465C">
      <w:pPr>
        <w:jc w:val="center"/>
        <w:rPr>
          <w:rFonts w:ascii="Verdana" w:eastAsia="Arial" w:hAnsi="Verdana"/>
          <w:b/>
          <w:bCs/>
          <w:sz w:val="24"/>
          <w:szCs w:val="24"/>
          <w:lang w:val="en-GB"/>
        </w:rPr>
      </w:pPr>
    </w:p>
    <w:p w14:paraId="6A473DF6" w14:textId="77777777" w:rsidR="00757B4C" w:rsidRDefault="00757B4C" w:rsidP="00BC465C">
      <w:pPr>
        <w:jc w:val="center"/>
        <w:rPr>
          <w:rFonts w:ascii="Verdana" w:eastAsia="Arial" w:hAnsi="Verdana"/>
          <w:b/>
          <w:bCs/>
          <w:sz w:val="24"/>
          <w:szCs w:val="24"/>
          <w:lang w:val="en-GB"/>
        </w:rPr>
      </w:pPr>
    </w:p>
    <w:p w14:paraId="4A20FD34" w14:textId="77777777" w:rsidR="00757B4C" w:rsidRDefault="00757B4C" w:rsidP="00BC465C">
      <w:pPr>
        <w:jc w:val="center"/>
        <w:rPr>
          <w:rFonts w:ascii="Verdana" w:eastAsia="Arial" w:hAnsi="Verdana"/>
          <w:b/>
          <w:bCs/>
          <w:sz w:val="24"/>
          <w:szCs w:val="24"/>
          <w:lang w:val="en-GB"/>
        </w:rPr>
      </w:pPr>
    </w:p>
    <w:p w14:paraId="6E9E90E0" w14:textId="77777777" w:rsidR="00757B4C" w:rsidRDefault="00757B4C" w:rsidP="00BC465C">
      <w:pPr>
        <w:jc w:val="center"/>
        <w:rPr>
          <w:rFonts w:ascii="Verdana" w:eastAsia="Arial" w:hAnsi="Verdana"/>
          <w:b/>
          <w:bCs/>
          <w:sz w:val="24"/>
          <w:szCs w:val="24"/>
          <w:lang w:val="en-GB"/>
        </w:rPr>
      </w:pPr>
    </w:p>
    <w:p w14:paraId="5F24354B" w14:textId="77777777" w:rsidR="000D11B4" w:rsidRDefault="000D11B4" w:rsidP="00BC465C">
      <w:pPr>
        <w:jc w:val="center"/>
        <w:rPr>
          <w:rFonts w:ascii="Verdana" w:eastAsia="Arial" w:hAnsi="Verdana"/>
          <w:b/>
          <w:bCs/>
          <w:sz w:val="24"/>
          <w:szCs w:val="24"/>
          <w:lang w:val="en-GB"/>
        </w:rPr>
      </w:pPr>
      <w:bookmarkStart w:id="0" w:name="_GoBack"/>
      <w:bookmarkEnd w:id="0"/>
    </w:p>
    <w:p w14:paraId="0B1D62E1" w14:textId="77777777" w:rsidR="000D11B4" w:rsidRPr="009B3AD2" w:rsidRDefault="000D11B4" w:rsidP="00BC465C">
      <w:pPr>
        <w:jc w:val="center"/>
        <w:rPr>
          <w:rFonts w:ascii="Verdana" w:eastAsia="Arial" w:hAnsi="Verdana"/>
          <w:b/>
          <w:bCs/>
          <w:sz w:val="28"/>
          <w:szCs w:val="24"/>
          <w:lang w:val="en-GB"/>
        </w:rPr>
      </w:pPr>
    </w:p>
    <w:p w14:paraId="210B3D92" w14:textId="77777777" w:rsidR="00BC465C" w:rsidRPr="004058BB" w:rsidRDefault="00BC465C" w:rsidP="00BC465C">
      <w:pPr>
        <w:jc w:val="center"/>
        <w:rPr>
          <w:rFonts w:ascii="Times New Roman" w:eastAsia="Arial" w:hAnsi="Times New Roman" w:cs="Times New Roman"/>
          <w:b/>
          <w:bCs/>
          <w:sz w:val="32"/>
          <w:szCs w:val="24"/>
          <w:lang w:val="en-GB"/>
        </w:rPr>
      </w:pPr>
      <w:r w:rsidRPr="004058BB">
        <w:rPr>
          <w:rFonts w:ascii="Times New Roman" w:eastAsia="Arial" w:hAnsi="Times New Roman" w:cs="Times New Roman"/>
          <w:b/>
          <w:bCs/>
          <w:sz w:val="32"/>
          <w:szCs w:val="24"/>
          <w:lang w:val="en-GB"/>
        </w:rPr>
        <w:t>African Vaccine Regulatory Forum (AVAREF)</w:t>
      </w:r>
    </w:p>
    <w:p w14:paraId="0A1980C4" w14:textId="022A2671" w:rsidR="0098382F" w:rsidRDefault="00E84399" w:rsidP="00036416">
      <w:pPr>
        <w:jc w:val="center"/>
        <w:rPr>
          <w:rFonts w:ascii="Times New Roman"/>
          <w:b/>
          <w:sz w:val="28"/>
        </w:rPr>
      </w:pPr>
      <w:r w:rsidRPr="004058BB">
        <w:rPr>
          <w:rFonts w:ascii="Times New Roman" w:eastAsia="Arial" w:hAnsi="Times New Roman" w:cs="Times New Roman"/>
          <w:b/>
          <w:bCs/>
          <w:sz w:val="32"/>
          <w:szCs w:val="24"/>
          <w:lang w:val="en-GB"/>
        </w:rPr>
        <w:t xml:space="preserve">Guidance and </w:t>
      </w:r>
      <w:r w:rsidR="003A1FA5" w:rsidRPr="004058BB">
        <w:rPr>
          <w:rFonts w:ascii="Times New Roman" w:eastAsia="Arial" w:hAnsi="Times New Roman" w:cs="Times New Roman"/>
          <w:b/>
          <w:bCs/>
          <w:sz w:val="32"/>
          <w:szCs w:val="24"/>
          <w:lang w:val="en-GB"/>
        </w:rPr>
        <w:t>C</w:t>
      </w:r>
      <w:r w:rsidR="00E07A70" w:rsidRPr="004058BB">
        <w:rPr>
          <w:rFonts w:ascii="Times New Roman" w:eastAsia="Arial" w:hAnsi="Times New Roman" w:cs="Times New Roman"/>
          <w:b/>
          <w:bCs/>
          <w:sz w:val="32"/>
          <w:szCs w:val="24"/>
          <w:lang w:val="en-GB"/>
        </w:rPr>
        <w:t>onsiderations on</w:t>
      </w:r>
      <w:r w:rsidRPr="004058BB">
        <w:rPr>
          <w:rFonts w:ascii="Times New Roman" w:eastAsia="Arial" w:hAnsi="Times New Roman" w:cs="Times New Roman"/>
          <w:b/>
          <w:bCs/>
          <w:sz w:val="32"/>
          <w:szCs w:val="24"/>
          <w:lang w:val="en-GB"/>
        </w:rPr>
        <w:t xml:space="preserve"> </w:t>
      </w:r>
      <w:r w:rsidR="007E5E4E" w:rsidRPr="004058BB">
        <w:rPr>
          <w:rFonts w:ascii="Times New Roman" w:eastAsia="Arial" w:hAnsi="Times New Roman" w:cs="Times New Roman"/>
          <w:b/>
          <w:bCs/>
          <w:sz w:val="32"/>
          <w:szCs w:val="24"/>
          <w:lang w:val="en-GB"/>
        </w:rPr>
        <w:t>Compassionate Use</w:t>
      </w:r>
      <w:r w:rsidR="004E66B5">
        <w:rPr>
          <w:rFonts w:ascii="Times New Roman" w:eastAsia="Arial" w:hAnsi="Times New Roman" w:cs="Times New Roman"/>
          <w:b/>
          <w:bCs/>
          <w:sz w:val="32"/>
          <w:szCs w:val="24"/>
          <w:lang w:val="en-GB"/>
        </w:rPr>
        <w:t xml:space="preserve"> Access</w:t>
      </w:r>
      <w:r w:rsidR="007E5E4E" w:rsidRPr="004058BB">
        <w:rPr>
          <w:rFonts w:ascii="Times New Roman" w:eastAsia="Arial" w:hAnsi="Times New Roman" w:cs="Times New Roman"/>
          <w:b/>
          <w:bCs/>
          <w:sz w:val="32"/>
          <w:szCs w:val="24"/>
          <w:lang w:val="en-GB"/>
        </w:rPr>
        <w:t xml:space="preserve"> </w:t>
      </w:r>
      <w:r w:rsidR="0057174D">
        <w:rPr>
          <w:rFonts w:ascii="Times New Roman"/>
          <w:b/>
          <w:sz w:val="28"/>
        </w:rPr>
        <w:br w:type="page"/>
      </w:r>
    </w:p>
    <w:p w14:paraId="0F6DA5F0" w14:textId="77777777" w:rsidR="00814F88" w:rsidRDefault="00814F88">
      <w:pPr>
        <w:rPr>
          <w:rFonts w:ascii="Times New Roman"/>
          <w:b/>
          <w:sz w:val="28"/>
        </w:rPr>
      </w:pPr>
    </w:p>
    <w:p w14:paraId="7C83ADA5" w14:textId="2E89532D" w:rsidR="00216602" w:rsidRDefault="00216602" w:rsidP="006777AD">
      <w:pPr>
        <w:jc w:val="center"/>
        <w:rPr>
          <w:rFonts w:ascii="Times New Roman"/>
          <w:sz w:val="24"/>
        </w:rPr>
      </w:pPr>
    </w:p>
    <w:p w14:paraId="14CF21DA" w14:textId="77777777" w:rsidR="005513A3" w:rsidRDefault="005513A3" w:rsidP="006777AD">
      <w:pPr>
        <w:jc w:val="center"/>
        <w:rPr>
          <w:rFonts w:ascii="Times New Roman"/>
          <w:sz w:val="24"/>
        </w:rPr>
      </w:pPr>
    </w:p>
    <w:p w14:paraId="695277FE" w14:textId="77777777" w:rsidR="005513A3" w:rsidRPr="00095B8C" w:rsidRDefault="005513A3" w:rsidP="006777AD">
      <w:pPr>
        <w:jc w:val="center"/>
        <w:rPr>
          <w:rFonts w:ascii="Times New Roman"/>
          <w:sz w:val="24"/>
        </w:rPr>
      </w:pPr>
    </w:p>
    <w:tbl>
      <w:tblPr>
        <w:tblStyle w:val="TableGrid"/>
        <w:tblW w:w="0" w:type="auto"/>
        <w:tblLook w:val="04A0" w:firstRow="1" w:lastRow="0" w:firstColumn="1" w:lastColumn="0" w:noHBand="0" w:noVBand="1"/>
      </w:tblPr>
      <w:tblGrid>
        <w:gridCol w:w="2661"/>
        <w:gridCol w:w="2365"/>
        <w:gridCol w:w="4324"/>
      </w:tblGrid>
      <w:tr w:rsidR="00425B6D" w:rsidRPr="00425B6D" w14:paraId="08FE86D5" w14:textId="77777777" w:rsidTr="00BC78A9">
        <w:trPr>
          <w:trHeight w:val="395"/>
        </w:trPr>
        <w:tc>
          <w:tcPr>
            <w:tcW w:w="2661" w:type="dxa"/>
          </w:tcPr>
          <w:p w14:paraId="62A97B64" w14:textId="77777777" w:rsidR="006777AD" w:rsidRPr="009B3AD2" w:rsidRDefault="006777AD" w:rsidP="00425B6D">
            <w:pPr>
              <w:rPr>
                <w:rFonts w:ascii="Times New Roman" w:hAnsi="Times New Roman" w:cs="Times New Roman"/>
                <w:b/>
                <w:lang w:val="en-GB"/>
              </w:rPr>
            </w:pPr>
            <w:r w:rsidRPr="009B3AD2">
              <w:rPr>
                <w:rFonts w:ascii="Times New Roman" w:hAnsi="Times New Roman" w:cs="Times New Roman"/>
                <w:b/>
                <w:lang w:val="en-GB"/>
              </w:rPr>
              <w:t>Code</w:t>
            </w:r>
          </w:p>
        </w:tc>
        <w:tc>
          <w:tcPr>
            <w:tcW w:w="2365" w:type="dxa"/>
          </w:tcPr>
          <w:p w14:paraId="1AEF8D43" w14:textId="77777777" w:rsidR="006777AD" w:rsidRPr="009B3AD2" w:rsidRDefault="006777AD" w:rsidP="00425B6D">
            <w:pPr>
              <w:rPr>
                <w:rFonts w:ascii="Times New Roman" w:hAnsi="Times New Roman" w:cs="Times New Roman"/>
                <w:b/>
                <w:lang w:val="en-GB"/>
              </w:rPr>
            </w:pPr>
            <w:r w:rsidRPr="009B3AD2">
              <w:rPr>
                <w:rFonts w:ascii="Times New Roman" w:hAnsi="Times New Roman" w:cs="Times New Roman"/>
                <w:b/>
                <w:lang w:val="en-GB"/>
              </w:rPr>
              <w:t>History</w:t>
            </w:r>
          </w:p>
        </w:tc>
        <w:tc>
          <w:tcPr>
            <w:tcW w:w="4324" w:type="dxa"/>
          </w:tcPr>
          <w:p w14:paraId="730B0653" w14:textId="77777777" w:rsidR="006777AD" w:rsidRPr="009B3AD2" w:rsidRDefault="006777AD" w:rsidP="00425B6D">
            <w:pPr>
              <w:rPr>
                <w:rFonts w:ascii="Times New Roman" w:hAnsi="Times New Roman" w:cs="Times New Roman"/>
                <w:b/>
                <w:lang w:val="en-GB"/>
              </w:rPr>
            </w:pPr>
            <w:r w:rsidRPr="009B3AD2">
              <w:rPr>
                <w:rFonts w:ascii="Times New Roman" w:hAnsi="Times New Roman" w:cs="Times New Roman"/>
                <w:b/>
                <w:lang w:val="en-GB"/>
              </w:rPr>
              <w:t>Date</w:t>
            </w:r>
          </w:p>
        </w:tc>
      </w:tr>
      <w:tr w:rsidR="00425B6D" w:rsidRPr="00425B6D" w14:paraId="4CCE5A54" w14:textId="77777777" w:rsidTr="00BC78A9">
        <w:trPr>
          <w:trHeight w:val="395"/>
        </w:trPr>
        <w:tc>
          <w:tcPr>
            <w:tcW w:w="2661" w:type="dxa"/>
          </w:tcPr>
          <w:p w14:paraId="2787436A" w14:textId="4240D1B4" w:rsidR="006777AD" w:rsidRPr="00244273" w:rsidRDefault="00BC78A9" w:rsidP="006E4FA5">
            <w:pPr>
              <w:rPr>
                <w:rFonts w:ascii="Times New Roman" w:hAnsi="Times New Roman" w:cs="Times New Roman"/>
                <w:sz w:val="24"/>
                <w:szCs w:val="24"/>
                <w:lang w:val="en-GB"/>
              </w:rPr>
            </w:pPr>
            <w:r w:rsidRPr="00244273">
              <w:rPr>
                <w:rFonts w:ascii="Times New Roman" w:hAnsi="Times New Roman" w:cs="Times New Roman"/>
                <w:sz w:val="24"/>
                <w:szCs w:val="24"/>
                <w:lang w:val="en-GB"/>
              </w:rPr>
              <w:t>AVAREF2020-</w:t>
            </w:r>
            <w:r w:rsidR="001D48BF">
              <w:rPr>
                <w:rFonts w:ascii="Times New Roman" w:hAnsi="Times New Roman" w:cs="Times New Roman"/>
                <w:sz w:val="24"/>
                <w:szCs w:val="24"/>
                <w:lang w:val="en-GB"/>
              </w:rPr>
              <w:t>CUG</w:t>
            </w:r>
          </w:p>
        </w:tc>
        <w:tc>
          <w:tcPr>
            <w:tcW w:w="2365" w:type="dxa"/>
          </w:tcPr>
          <w:p w14:paraId="0B320F87" w14:textId="0456DC6D" w:rsidR="006777AD" w:rsidRPr="00244273" w:rsidRDefault="006777AD" w:rsidP="00425B6D">
            <w:pPr>
              <w:rPr>
                <w:rFonts w:ascii="Times New Roman" w:hAnsi="Times New Roman" w:cs="Times New Roman"/>
                <w:sz w:val="24"/>
                <w:szCs w:val="24"/>
                <w:lang w:val="en-GB"/>
              </w:rPr>
            </w:pPr>
            <w:r w:rsidRPr="00244273">
              <w:rPr>
                <w:rFonts w:ascii="Times New Roman" w:hAnsi="Times New Roman" w:cs="Times New Roman"/>
                <w:sz w:val="24"/>
                <w:szCs w:val="24"/>
                <w:lang w:val="en-GB"/>
              </w:rPr>
              <w:t>Original document</w:t>
            </w:r>
          </w:p>
        </w:tc>
        <w:tc>
          <w:tcPr>
            <w:tcW w:w="4324" w:type="dxa"/>
          </w:tcPr>
          <w:p w14:paraId="1A8A759A" w14:textId="3D364134" w:rsidR="006777AD" w:rsidRPr="00244273" w:rsidRDefault="007E5E4E" w:rsidP="00EB4134">
            <w:pPr>
              <w:rPr>
                <w:rFonts w:ascii="Times New Roman" w:hAnsi="Times New Roman" w:cs="Times New Roman"/>
                <w:sz w:val="24"/>
                <w:szCs w:val="24"/>
                <w:lang w:val="en-GB"/>
              </w:rPr>
            </w:pPr>
            <w:r>
              <w:rPr>
                <w:rFonts w:ascii="Times New Roman" w:hAnsi="Times New Roman" w:cs="Times New Roman"/>
                <w:sz w:val="24"/>
                <w:szCs w:val="24"/>
                <w:lang w:val="en-GB"/>
              </w:rPr>
              <w:t>June 15</w:t>
            </w:r>
            <w:r w:rsidR="009A0F80" w:rsidRPr="00244273">
              <w:rPr>
                <w:rFonts w:ascii="Times New Roman" w:hAnsi="Times New Roman" w:cs="Times New Roman"/>
                <w:sz w:val="24"/>
                <w:szCs w:val="24"/>
                <w:lang w:val="en-GB"/>
              </w:rPr>
              <w:t>,2020</w:t>
            </w:r>
          </w:p>
        </w:tc>
      </w:tr>
      <w:tr w:rsidR="00425B6D" w:rsidRPr="00425B6D" w14:paraId="35B79F5C" w14:textId="77777777" w:rsidTr="00BC78A9">
        <w:trPr>
          <w:trHeight w:val="467"/>
        </w:trPr>
        <w:tc>
          <w:tcPr>
            <w:tcW w:w="2661" w:type="dxa"/>
          </w:tcPr>
          <w:p w14:paraId="5A24BFA6" w14:textId="65673937" w:rsidR="00306738" w:rsidRPr="00244273" w:rsidRDefault="009A0F80" w:rsidP="00306738">
            <w:pPr>
              <w:rPr>
                <w:rFonts w:ascii="Times New Roman" w:hAnsi="Times New Roman" w:cs="Times New Roman"/>
                <w:sz w:val="24"/>
                <w:szCs w:val="24"/>
                <w:lang w:val="en-GB"/>
              </w:rPr>
            </w:pPr>
            <w:r w:rsidRPr="00244273">
              <w:rPr>
                <w:rFonts w:ascii="Times New Roman" w:hAnsi="Times New Roman" w:cs="Times New Roman"/>
                <w:sz w:val="24"/>
                <w:szCs w:val="24"/>
                <w:lang w:val="en-GB"/>
              </w:rPr>
              <w:t>AVAREF2020-</w:t>
            </w:r>
            <w:r w:rsidR="001D48BF">
              <w:rPr>
                <w:rFonts w:ascii="Times New Roman" w:hAnsi="Times New Roman" w:cs="Times New Roman"/>
                <w:sz w:val="24"/>
                <w:szCs w:val="24"/>
                <w:lang w:val="en-GB"/>
              </w:rPr>
              <w:t>CUG</w:t>
            </w:r>
          </w:p>
        </w:tc>
        <w:tc>
          <w:tcPr>
            <w:tcW w:w="2365" w:type="dxa"/>
          </w:tcPr>
          <w:p w14:paraId="4ED9180C" w14:textId="62FED408" w:rsidR="00306738" w:rsidRPr="00244273" w:rsidRDefault="009122D7" w:rsidP="00425B6D">
            <w:pPr>
              <w:rPr>
                <w:rFonts w:ascii="Times New Roman" w:hAnsi="Times New Roman" w:cs="Times New Roman"/>
                <w:sz w:val="24"/>
                <w:szCs w:val="24"/>
                <w:lang w:val="en-GB"/>
              </w:rPr>
            </w:pPr>
            <w:r>
              <w:rPr>
                <w:rFonts w:ascii="Times New Roman" w:hAnsi="Times New Roman" w:cs="Times New Roman"/>
                <w:sz w:val="24"/>
                <w:szCs w:val="24"/>
                <w:lang w:val="en-GB"/>
              </w:rPr>
              <w:t xml:space="preserve">Version </w:t>
            </w:r>
            <w:r w:rsidR="00BD6DC7">
              <w:rPr>
                <w:rFonts w:ascii="Times New Roman" w:hAnsi="Times New Roman" w:cs="Times New Roman"/>
                <w:sz w:val="24"/>
                <w:szCs w:val="24"/>
                <w:lang w:val="en-GB"/>
              </w:rPr>
              <w:t>1</w:t>
            </w:r>
          </w:p>
        </w:tc>
        <w:tc>
          <w:tcPr>
            <w:tcW w:w="4324" w:type="dxa"/>
          </w:tcPr>
          <w:p w14:paraId="797C6EE7" w14:textId="1DA06FBC" w:rsidR="00306738" w:rsidRPr="00244273" w:rsidRDefault="009122D7" w:rsidP="00306738">
            <w:pPr>
              <w:rPr>
                <w:rFonts w:ascii="Times New Roman" w:hAnsi="Times New Roman" w:cs="Times New Roman"/>
                <w:sz w:val="24"/>
                <w:szCs w:val="24"/>
                <w:lang w:val="en-GB"/>
              </w:rPr>
            </w:pPr>
            <w:r>
              <w:rPr>
                <w:rFonts w:ascii="Times New Roman" w:hAnsi="Times New Roman" w:cs="Times New Roman"/>
                <w:sz w:val="24"/>
                <w:szCs w:val="24"/>
                <w:lang w:val="en-GB"/>
              </w:rPr>
              <w:t>June 17,2020</w:t>
            </w:r>
          </w:p>
        </w:tc>
      </w:tr>
      <w:tr w:rsidR="00425B6D" w:rsidRPr="00425B6D" w14:paraId="38B7368F" w14:textId="77777777" w:rsidTr="00BC78A9">
        <w:trPr>
          <w:trHeight w:val="422"/>
        </w:trPr>
        <w:tc>
          <w:tcPr>
            <w:tcW w:w="2661" w:type="dxa"/>
          </w:tcPr>
          <w:p w14:paraId="6069679C" w14:textId="1321D1E1" w:rsidR="00306738" w:rsidRPr="009B2ACF" w:rsidRDefault="00E07A70" w:rsidP="00306738">
            <w:pPr>
              <w:rPr>
                <w:rFonts w:ascii="Times New Roman" w:hAnsi="Times New Roman" w:cs="Times New Roman"/>
                <w:sz w:val="24"/>
                <w:szCs w:val="24"/>
                <w:lang w:val="en-GB"/>
              </w:rPr>
            </w:pPr>
            <w:r w:rsidRPr="009B2ACF">
              <w:rPr>
                <w:rFonts w:ascii="Times New Roman" w:hAnsi="Times New Roman" w:cs="Times New Roman"/>
                <w:sz w:val="24"/>
                <w:szCs w:val="24"/>
                <w:lang w:val="en-GB"/>
              </w:rPr>
              <w:t>AVAREF Document No.</w:t>
            </w:r>
          </w:p>
        </w:tc>
        <w:tc>
          <w:tcPr>
            <w:tcW w:w="2365" w:type="dxa"/>
          </w:tcPr>
          <w:p w14:paraId="46B8A7AF" w14:textId="3507D887" w:rsidR="00306738" w:rsidRPr="009B2ACF" w:rsidRDefault="00CF73C0" w:rsidP="00425B6D">
            <w:pPr>
              <w:rPr>
                <w:rFonts w:ascii="Times New Roman" w:hAnsi="Times New Roman" w:cs="Times New Roman"/>
                <w:sz w:val="24"/>
                <w:szCs w:val="24"/>
                <w:lang w:val="en-GB"/>
              </w:rPr>
            </w:pPr>
            <w:r w:rsidRPr="009B2ACF">
              <w:rPr>
                <w:rFonts w:ascii="Times New Roman" w:hAnsi="Times New Roman" w:cs="Times New Roman"/>
                <w:sz w:val="24"/>
                <w:szCs w:val="24"/>
                <w:lang w:val="en-GB"/>
              </w:rPr>
              <w:t>Version 2, draft 1</w:t>
            </w:r>
          </w:p>
        </w:tc>
        <w:tc>
          <w:tcPr>
            <w:tcW w:w="4324" w:type="dxa"/>
          </w:tcPr>
          <w:p w14:paraId="3505C083" w14:textId="2778D845" w:rsidR="00306738" w:rsidRPr="00244273" w:rsidRDefault="00B35DAA" w:rsidP="00306738">
            <w:pPr>
              <w:rPr>
                <w:rFonts w:ascii="Times New Roman" w:hAnsi="Times New Roman" w:cs="Times New Roman"/>
                <w:sz w:val="24"/>
                <w:szCs w:val="24"/>
                <w:lang w:val="en-GB"/>
              </w:rPr>
            </w:pPr>
            <w:r>
              <w:rPr>
                <w:rFonts w:ascii="Times New Roman" w:hAnsi="Times New Roman" w:cs="Times New Roman"/>
                <w:sz w:val="24"/>
                <w:szCs w:val="24"/>
                <w:lang w:val="en-GB"/>
              </w:rPr>
              <w:t>July 2</w:t>
            </w:r>
            <w:r w:rsidR="000C5B88">
              <w:rPr>
                <w:rFonts w:ascii="Times New Roman" w:hAnsi="Times New Roman" w:cs="Times New Roman"/>
                <w:sz w:val="24"/>
                <w:szCs w:val="24"/>
                <w:lang w:val="en-GB"/>
              </w:rPr>
              <w:t>1</w:t>
            </w:r>
            <w:r w:rsidR="00CF73C0">
              <w:rPr>
                <w:rFonts w:ascii="Times New Roman" w:hAnsi="Times New Roman" w:cs="Times New Roman"/>
                <w:sz w:val="24"/>
                <w:szCs w:val="24"/>
                <w:lang w:val="en-GB"/>
              </w:rPr>
              <w:t>, 2020</w:t>
            </w:r>
          </w:p>
        </w:tc>
      </w:tr>
      <w:tr w:rsidR="00425B6D" w:rsidRPr="00425B6D" w14:paraId="6CBE6684" w14:textId="77777777" w:rsidTr="00BC78A9">
        <w:trPr>
          <w:trHeight w:val="377"/>
        </w:trPr>
        <w:tc>
          <w:tcPr>
            <w:tcW w:w="2661" w:type="dxa"/>
          </w:tcPr>
          <w:p w14:paraId="67B4E509" w14:textId="3CAD5C33" w:rsidR="00306738" w:rsidRPr="006B0301" w:rsidRDefault="006B0301" w:rsidP="00306738">
            <w:pPr>
              <w:rPr>
                <w:rFonts w:ascii="Times New Roman" w:hAnsi="Times New Roman" w:cs="Times New Roman"/>
                <w:sz w:val="24"/>
                <w:szCs w:val="24"/>
                <w:lang w:val="en-GB"/>
              </w:rPr>
            </w:pPr>
            <w:r w:rsidRPr="006B0301">
              <w:rPr>
                <w:rFonts w:ascii="Times New Roman" w:hAnsi="Times New Roman" w:cs="Times New Roman"/>
                <w:lang w:val="en-GB"/>
              </w:rPr>
              <w:t>AVAREF2020 Document No.</w:t>
            </w:r>
          </w:p>
        </w:tc>
        <w:tc>
          <w:tcPr>
            <w:tcW w:w="0" w:type="auto"/>
          </w:tcPr>
          <w:p w14:paraId="21C3895A" w14:textId="73C1D56C" w:rsidR="00306738" w:rsidRPr="00244273" w:rsidRDefault="006B0301" w:rsidP="00306738">
            <w:pPr>
              <w:rPr>
                <w:rFonts w:ascii="Times New Roman" w:hAnsi="Times New Roman" w:cs="Times New Roman"/>
                <w:sz w:val="24"/>
                <w:szCs w:val="24"/>
                <w:lang w:val="en-GB"/>
              </w:rPr>
            </w:pPr>
            <w:r>
              <w:rPr>
                <w:rFonts w:ascii="Times New Roman" w:hAnsi="Times New Roman" w:cs="Times New Roman"/>
                <w:sz w:val="24"/>
                <w:szCs w:val="24"/>
                <w:lang w:val="en-GB"/>
              </w:rPr>
              <w:t xml:space="preserve">Version 2, draft </w:t>
            </w:r>
            <w:r w:rsidR="00BD6DC7">
              <w:rPr>
                <w:rFonts w:ascii="Times New Roman" w:hAnsi="Times New Roman" w:cs="Times New Roman"/>
                <w:sz w:val="24"/>
                <w:szCs w:val="24"/>
                <w:lang w:val="en-GB"/>
              </w:rPr>
              <w:t>2</w:t>
            </w:r>
          </w:p>
        </w:tc>
        <w:tc>
          <w:tcPr>
            <w:tcW w:w="0" w:type="auto"/>
          </w:tcPr>
          <w:p w14:paraId="6578F791" w14:textId="360B86DC" w:rsidR="00306738" w:rsidRPr="00244273" w:rsidRDefault="006B0301" w:rsidP="00425B6D">
            <w:pPr>
              <w:rPr>
                <w:rFonts w:ascii="Times New Roman" w:hAnsi="Times New Roman" w:cs="Times New Roman"/>
                <w:sz w:val="24"/>
                <w:szCs w:val="24"/>
                <w:lang w:val="en-GB"/>
              </w:rPr>
            </w:pPr>
            <w:r>
              <w:rPr>
                <w:rFonts w:ascii="Times New Roman" w:hAnsi="Times New Roman" w:cs="Times New Roman"/>
                <w:sz w:val="24"/>
                <w:szCs w:val="24"/>
                <w:lang w:val="en-GB"/>
              </w:rPr>
              <w:t>July 24, 2020</w:t>
            </w:r>
          </w:p>
        </w:tc>
      </w:tr>
      <w:tr w:rsidR="00E46B43" w:rsidRPr="00425B6D" w14:paraId="44770BC3" w14:textId="77777777" w:rsidTr="00BC78A9">
        <w:trPr>
          <w:trHeight w:val="377"/>
        </w:trPr>
        <w:tc>
          <w:tcPr>
            <w:tcW w:w="2661" w:type="dxa"/>
          </w:tcPr>
          <w:p w14:paraId="4CEDC5B5" w14:textId="76A8CC40" w:rsidR="00E46B43" w:rsidRPr="00244273" w:rsidRDefault="00E46B43" w:rsidP="00E46B43">
            <w:pPr>
              <w:rPr>
                <w:rFonts w:ascii="Times New Roman" w:hAnsi="Times New Roman" w:cs="Times New Roman"/>
                <w:sz w:val="24"/>
                <w:szCs w:val="24"/>
                <w:lang w:val="en-GB"/>
              </w:rPr>
            </w:pPr>
            <w:r w:rsidRPr="004E4D7C">
              <w:t>AVAREF2020 Document No.</w:t>
            </w:r>
          </w:p>
        </w:tc>
        <w:tc>
          <w:tcPr>
            <w:tcW w:w="0" w:type="auto"/>
          </w:tcPr>
          <w:p w14:paraId="58C6856C" w14:textId="66534522" w:rsidR="00E46B43" w:rsidRPr="00244273" w:rsidRDefault="00E46B43" w:rsidP="00E46B43">
            <w:pPr>
              <w:rPr>
                <w:rFonts w:ascii="Times New Roman" w:hAnsi="Times New Roman" w:cs="Times New Roman"/>
                <w:sz w:val="24"/>
                <w:szCs w:val="24"/>
                <w:lang w:val="en-GB"/>
              </w:rPr>
            </w:pPr>
            <w:r w:rsidRPr="004E4D7C">
              <w:t xml:space="preserve">Version 2, draft </w:t>
            </w:r>
            <w:r>
              <w:t>3</w:t>
            </w:r>
          </w:p>
        </w:tc>
        <w:tc>
          <w:tcPr>
            <w:tcW w:w="0" w:type="auto"/>
          </w:tcPr>
          <w:p w14:paraId="52F963D0" w14:textId="42312CF5" w:rsidR="00E46B43" w:rsidRPr="00244273" w:rsidRDefault="00E46B43" w:rsidP="00E46B43">
            <w:pPr>
              <w:rPr>
                <w:rFonts w:ascii="Times New Roman" w:hAnsi="Times New Roman" w:cs="Times New Roman"/>
                <w:sz w:val="24"/>
                <w:szCs w:val="24"/>
                <w:lang w:val="en-GB"/>
              </w:rPr>
            </w:pPr>
            <w:r>
              <w:t xml:space="preserve">Sept </w:t>
            </w:r>
            <w:r w:rsidRPr="004E4D7C">
              <w:t>24, 2020</w:t>
            </w:r>
          </w:p>
        </w:tc>
      </w:tr>
      <w:tr w:rsidR="009B2ACF" w:rsidRPr="00425B6D" w14:paraId="17FE5C48" w14:textId="77777777" w:rsidTr="00BC78A9">
        <w:trPr>
          <w:trHeight w:val="377"/>
        </w:trPr>
        <w:tc>
          <w:tcPr>
            <w:tcW w:w="2661" w:type="dxa"/>
          </w:tcPr>
          <w:p w14:paraId="6F1DDFEB" w14:textId="09BA5286" w:rsidR="009B2ACF" w:rsidRPr="004E4D7C" w:rsidRDefault="009B2ACF" w:rsidP="009B2ACF">
            <w:r w:rsidRPr="009B370D">
              <w:t>AVAREF2020 Document No.</w:t>
            </w:r>
          </w:p>
        </w:tc>
        <w:tc>
          <w:tcPr>
            <w:tcW w:w="0" w:type="auto"/>
          </w:tcPr>
          <w:p w14:paraId="682427FD" w14:textId="23448A9D" w:rsidR="009B2ACF" w:rsidRPr="004E4D7C" w:rsidRDefault="009B2ACF" w:rsidP="009B2ACF">
            <w:r w:rsidRPr="009B370D">
              <w:t xml:space="preserve">Version 2, draft </w:t>
            </w:r>
            <w:r>
              <w:t>4</w:t>
            </w:r>
          </w:p>
        </w:tc>
        <w:tc>
          <w:tcPr>
            <w:tcW w:w="0" w:type="auto"/>
          </w:tcPr>
          <w:p w14:paraId="36DE4519" w14:textId="77777777" w:rsidR="009B2ACF" w:rsidRDefault="009B2ACF" w:rsidP="009B2ACF">
            <w:r>
              <w:t xml:space="preserve">Public Consultation </w:t>
            </w:r>
          </w:p>
          <w:p w14:paraId="4E1F0B39" w14:textId="1ABE65A0" w:rsidR="009B2ACF" w:rsidRDefault="009B2ACF" w:rsidP="009B2ACF">
            <w:r>
              <w:t>1-30 November 2020</w:t>
            </w:r>
          </w:p>
        </w:tc>
      </w:tr>
      <w:tr w:rsidR="00FF2EF0" w:rsidRPr="00425B6D" w14:paraId="190F187A" w14:textId="77777777" w:rsidTr="00BC78A9">
        <w:trPr>
          <w:trHeight w:val="377"/>
        </w:trPr>
        <w:tc>
          <w:tcPr>
            <w:tcW w:w="2661" w:type="dxa"/>
          </w:tcPr>
          <w:p w14:paraId="6B4F6630" w14:textId="5AE55803" w:rsidR="00FF2EF0" w:rsidRPr="009B370D" w:rsidRDefault="00FF2EF0" w:rsidP="009B2ACF">
            <w:r>
              <w:t>AVAREF2021-CUG</w:t>
            </w:r>
          </w:p>
        </w:tc>
        <w:tc>
          <w:tcPr>
            <w:tcW w:w="0" w:type="auto"/>
          </w:tcPr>
          <w:p w14:paraId="601022CA" w14:textId="687F72C5" w:rsidR="00FF2EF0" w:rsidRPr="009B370D" w:rsidRDefault="00FF2EF0" w:rsidP="009B2ACF">
            <w:r>
              <w:t>Final</w:t>
            </w:r>
          </w:p>
        </w:tc>
        <w:tc>
          <w:tcPr>
            <w:tcW w:w="0" w:type="auto"/>
          </w:tcPr>
          <w:p w14:paraId="66139A30" w14:textId="00E7C3CE" w:rsidR="00FF2EF0" w:rsidRDefault="00FF2EF0" w:rsidP="009B2ACF">
            <w:r>
              <w:t>February 2021</w:t>
            </w:r>
          </w:p>
        </w:tc>
      </w:tr>
    </w:tbl>
    <w:p w14:paraId="64D7E2E3" w14:textId="77777777" w:rsidR="006777AD" w:rsidRDefault="006777AD">
      <w:pPr>
        <w:rPr>
          <w:rFonts w:ascii="Times New Roman"/>
          <w:sz w:val="28"/>
        </w:rPr>
      </w:pPr>
      <w:r>
        <w:rPr>
          <w:rFonts w:ascii="Times New Roman"/>
          <w:sz w:val="28"/>
        </w:rPr>
        <w:br w:type="page"/>
      </w:r>
    </w:p>
    <w:p w14:paraId="411A65E4" w14:textId="77777777" w:rsidR="00032C75" w:rsidRDefault="00032C75">
      <w:pPr>
        <w:pStyle w:val="TOC1"/>
        <w:rPr>
          <w:rFonts w:ascii="Times New Roman"/>
          <w:sz w:val="28"/>
        </w:rPr>
      </w:pPr>
    </w:p>
    <w:p w14:paraId="0B2F218F" w14:textId="7583C545" w:rsidR="00032C75" w:rsidRPr="009B3AD2" w:rsidRDefault="00450D93" w:rsidP="009B3AD2">
      <w:pPr>
        <w:pStyle w:val="TableParagraph"/>
        <w:rPr>
          <w:rFonts w:ascii="Times New Roman" w:hAnsi="Times New Roman" w:cs="Times New Roman"/>
          <w:sz w:val="28"/>
        </w:rPr>
      </w:pPr>
      <w:r w:rsidRPr="009B3AD2">
        <w:rPr>
          <w:rFonts w:ascii="Times New Roman" w:hAnsi="Times New Roman" w:cs="Times New Roman"/>
          <w:sz w:val="28"/>
        </w:rPr>
        <w:t>Contents</w:t>
      </w:r>
    </w:p>
    <w:p w14:paraId="5B33CD5E" w14:textId="77777777" w:rsidR="00450D93" w:rsidRPr="00906BCA" w:rsidRDefault="00450D93" w:rsidP="009B3AD2">
      <w:pPr>
        <w:pStyle w:val="Heading1"/>
        <w:rPr>
          <w:rFonts w:cs="Times New Roman"/>
        </w:rPr>
      </w:pPr>
    </w:p>
    <w:p w14:paraId="19D2AC01" w14:textId="267842DF" w:rsidR="00036416" w:rsidRDefault="00FE6F62">
      <w:pPr>
        <w:pStyle w:val="TOC1"/>
        <w:tabs>
          <w:tab w:val="left" w:pos="660"/>
        </w:tabs>
        <w:rPr>
          <w:rFonts w:eastAsiaTheme="minorEastAsia"/>
          <w:b w:val="0"/>
        </w:rPr>
      </w:pPr>
      <w:r w:rsidRPr="009B3AD2">
        <w:rPr>
          <w:rFonts w:ascii="Times New Roman" w:hAnsi="Times New Roman" w:cs="Times New Roman"/>
        </w:rPr>
        <w:fldChar w:fldCharType="begin"/>
      </w:r>
      <w:r w:rsidRPr="009B3AD2">
        <w:rPr>
          <w:rFonts w:ascii="Times New Roman" w:hAnsi="Times New Roman" w:cs="Times New Roman"/>
        </w:rPr>
        <w:instrText xml:space="preserve"> TOC \o "1-3" \h \z \u </w:instrText>
      </w:r>
      <w:r w:rsidRPr="009B3AD2">
        <w:rPr>
          <w:rFonts w:ascii="Times New Roman" w:hAnsi="Times New Roman" w:cs="Times New Roman"/>
        </w:rPr>
        <w:fldChar w:fldCharType="separate"/>
      </w:r>
      <w:hyperlink w:anchor="_Toc46149898" w:history="1">
        <w:r w:rsidR="00036416" w:rsidRPr="00652922">
          <w:rPr>
            <w:rStyle w:val="Hyperlink"/>
          </w:rPr>
          <w:t>1.0</w:t>
        </w:r>
        <w:r w:rsidR="00036416">
          <w:rPr>
            <w:rFonts w:eastAsiaTheme="minorEastAsia"/>
            <w:b w:val="0"/>
          </w:rPr>
          <w:tab/>
        </w:r>
        <w:r w:rsidR="00036416" w:rsidRPr="00652922">
          <w:rPr>
            <w:rStyle w:val="Hyperlink"/>
          </w:rPr>
          <w:t>Definitions</w:t>
        </w:r>
        <w:r w:rsidR="00036416">
          <w:rPr>
            <w:webHidden/>
          </w:rPr>
          <w:tab/>
        </w:r>
        <w:r w:rsidR="00036416">
          <w:rPr>
            <w:webHidden/>
          </w:rPr>
          <w:fldChar w:fldCharType="begin"/>
        </w:r>
        <w:r w:rsidR="00036416">
          <w:rPr>
            <w:webHidden/>
          </w:rPr>
          <w:instrText xml:space="preserve"> PAGEREF _Toc46149898 \h </w:instrText>
        </w:r>
        <w:r w:rsidR="00036416">
          <w:rPr>
            <w:webHidden/>
          </w:rPr>
        </w:r>
        <w:r w:rsidR="00036416">
          <w:rPr>
            <w:webHidden/>
          </w:rPr>
          <w:fldChar w:fldCharType="separate"/>
        </w:r>
        <w:r w:rsidR="00036416">
          <w:rPr>
            <w:webHidden/>
          </w:rPr>
          <w:t>4</w:t>
        </w:r>
        <w:r w:rsidR="00036416">
          <w:rPr>
            <w:webHidden/>
          </w:rPr>
          <w:fldChar w:fldCharType="end"/>
        </w:r>
      </w:hyperlink>
    </w:p>
    <w:p w14:paraId="421D564A" w14:textId="4733A129" w:rsidR="00036416" w:rsidRDefault="00FF2EF0">
      <w:pPr>
        <w:pStyle w:val="TOC1"/>
        <w:rPr>
          <w:rFonts w:eastAsiaTheme="minorEastAsia"/>
          <w:b w:val="0"/>
        </w:rPr>
      </w:pPr>
      <w:hyperlink w:anchor="_Toc46149899" w:history="1">
        <w:r w:rsidR="00036416" w:rsidRPr="00652922">
          <w:rPr>
            <w:rStyle w:val="Hyperlink"/>
          </w:rPr>
          <w:t>2.0 Acronyms</w:t>
        </w:r>
        <w:r w:rsidR="00036416">
          <w:rPr>
            <w:webHidden/>
          </w:rPr>
          <w:tab/>
        </w:r>
        <w:r w:rsidR="00036416">
          <w:rPr>
            <w:webHidden/>
          </w:rPr>
          <w:fldChar w:fldCharType="begin"/>
        </w:r>
        <w:r w:rsidR="00036416">
          <w:rPr>
            <w:webHidden/>
          </w:rPr>
          <w:instrText xml:space="preserve"> PAGEREF _Toc46149899 \h </w:instrText>
        </w:r>
        <w:r w:rsidR="00036416">
          <w:rPr>
            <w:webHidden/>
          </w:rPr>
        </w:r>
        <w:r w:rsidR="00036416">
          <w:rPr>
            <w:webHidden/>
          </w:rPr>
          <w:fldChar w:fldCharType="separate"/>
        </w:r>
        <w:r w:rsidR="00036416">
          <w:rPr>
            <w:webHidden/>
          </w:rPr>
          <w:t>5</w:t>
        </w:r>
        <w:r w:rsidR="00036416">
          <w:rPr>
            <w:webHidden/>
          </w:rPr>
          <w:fldChar w:fldCharType="end"/>
        </w:r>
      </w:hyperlink>
    </w:p>
    <w:p w14:paraId="7A842A00" w14:textId="27237192" w:rsidR="00036416" w:rsidRDefault="00FF2EF0">
      <w:pPr>
        <w:pStyle w:val="TOC1"/>
        <w:rPr>
          <w:rFonts w:eastAsiaTheme="minorEastAsia"/>
          <w:b w:val="0"/>
        </w:rPr>
      </w:pPr>
      <w:hyperlink w:anchor="_Toc46149900" w:history="1">
        <w:r w:rsidR="00036416" w:rsidRPr="00652922">
          <w:rPr>
            <w:rStyle w:val="Hyperlink"/>
          </w:rPr>
          <w:t>3.0 Background</w:t>
        </w:r>
        <w:r w:rsidR="00036416">
          <w:rPr>
            <w:webHidden/>
          </w:rPr>
          <w:tab/>
        </w:r>
        <w:r w:rsidR="00036416">
          <w:rPr>
            <w:webHidden/>
          </w:rPr>
          <w:fldChar w:fldCharType="begin"/>
        </w:r>
        <w:r w:rsidR="00036416">
          <w:rPr>
            <w:webHidden/>
          </w:rPr>
          <w:instrText xml:space="preserve"> PAGEREF _Toc46149900 \h </w:instrText>
        </w:r>
        <w:r w:rsidR="00036416">
          <w:rPr>
            <w:webHidden/>
          </w:rPr>
        </w:r>
        <w:r w:rsidR="00036416">
          <w:rPr>
            <w:webHidden/>
          </w:rPr>
          <w:fldChar w:fldCharType="separate"/>
        </w:r>
        <w:r w:rsidR="00036416">
          <w:rPr>
            <w:webHidden/>
          </w:rPr>
          <w:t>5</w:t>
        </w:r>
        <w:r w:rsidR="00036416">
          <w:rPr>
            <w:webHidden/>
          </w:rPr>
          <w:fldChar w:fldCharType="end"/>
        </w:r>
      </w:hyperlink>
    </w:p>
    <w:p w14:paraId="3B4C2907" w14:textId="11539DF4" w:rsidR="00036416" w:rsidRDefault="00FF2EF0">
      <w:pPr>
        <w:pStyle w:val="TOC1"/>
        <w:rPr>
          <w:rFonts w:eastAsiaTheme="minorEastAsia"/>
          <w:b w:val="0"/>
        </w:rPr>
      </w:pPr>
      <w:hyperlink w:anchor="_Toc46149901" w:history="1">
        <w:r w:rsidR="00036416" w:rsidRPr="00652922">
          <w:rPr>
            <w:rStyle w:val="Hyperlink"/>
          </w:rPr>
          <w:t>4.0 Scope</w:t>
        </w:r>
        <w:r w:rsidR="00036416">
          <w:rPr>
            <w:webHidden/>
          </w:rPr>
          <w:tab/>
        </w:r>
        <w:r w:rsidR="00036416">
          <w:rPr>
            <w:webHidden/>
          </w:rPr>
          <w:fldChar w:fldCharType="begin"/>
        </w:r>
        <w:r w:rsidR="00036416">
          <w:rPr>
            <w:webHidden/>
          </w:rPr>
          <w:instrText xml:space="preserve"> PAGEREF _Toc46149901 \h </w:instrText>
        </w:r>
        <w:r w:rsidR="00036416">
          <w:rPr>
            <w:webHidden/>
          </w:rPr>
        </w:r>
        <w:r w:rsidR="00036416">
          <w:rPr>
            <w:webHidden/>
          </w:rPr>
          <w:fldChar w:fldCharType="separate"/>
        </w:r>
        <w:r w:rsidR="00036416">
          <w:rPr>
            <w:webHidden/>
          </w:rPr>
          <w:t>6</w:t>
        </w:r>
        <w:r w:rsidR="00036416">
          <w:rPr>
            <w:webHidden/>
          </w:rPr>
          <w:fldChar w:fldCharType="end"/>
        </w:r>
      </w:hyperlink>
    </w:p>
    <w:p w14:paraId="73CEC217" w14:textId="171465E7" w:rsidR="00036416" w:rsidRDefault="00FF2EF0">
      <w:pPr>
        <w:pStyle w:val="TOC1"/>
        <w:rPr>
          <w:rFonts w:eastAsiaTheme="minorEastAsia"/>
          <w:b w:val="0"/>
        </w:rPr>
      </w:pPr>
      <w:hyperlink w:anchor="_Toc46149902" w:history="1">
        <w:r w:rsidR="00036416" w:rsidRPr="00652922">
          <w:rPr>
            <w:rStyle w:val="Hyperlink"/>
          </w:rPr>
          <w:t>5.0 Eligibility Criteria for the IMP /un-registered Novel Medicinal Product</w:t>
        </w:r>
        <w:r w:rsidR="00036416">
          <w:rPr>
            <w:webHidden/>
          </w:rPr>
          <w:tab/>
        </w:r>
        <w:r w:rsidR="00036416">
          <w:rPr>
            <w:webHidden/>
          </w:rPr>
          <w:fldChar w:fldCharType="begin"/>
        </w:r>
        <w:r w:rsidR="00036416">
          <w:rPr>
            <w:webHidden/>
          </w:rPr>
          <w:instrText xml:space="preserve"> PAGEREF _Toc46149902 \h </w:instrText>
        </w:r>
        <w:r w:rsidR="00036416">
          <w:rPr>
            <w:webHidden/>
          </w:rPr>
        </w:r>
        <w:r w:rsidR="00036416">
          <w:rPr>
            <w:webHidden/>
          </w:rPr>
          <w:fldChar w:fldCharType="separate"/>
        </w:r>
        <w:r w:rsidR="00036416">
          <w:rPr>
            <w:webHidden/>
          </w:rPr>
          <w:t>7</w:t>
        </w:r>
        <w:r w:rsidR="00036416">
          <w:rPr>
            <w:webHidden/>
          </w:rPr>
          <w:fldChar w:fldCharType="end"/>
        </w:r>
      </w:hyperlink>
    </w:p>
    <w:p w14:paraId="5DF8D04F" w14:textId="2062C63F" w:rsidR="00036416" w:rsidRDefault="00FF2EF0">
      <w:pPr>
        <w:pStyle w:val="TOC1"/>
        <w:rPr>
          <w:rFonts w:eastAsiaTheme="minorEastAsia"/>
          <w:b w:val="0"/>
        </w:rPr>
      </w:pPr>
      <w:hyperlink w:anchor="_Toc46149903" w:history="1">
        <w:r w:rsidR="00036416" w:rsidRPr="00652922">
          <w:rPr>
            <w:rStyle w:val="Hyperlink"/>
          </w:rPr>
          <w:t>6.0 Application Procedure for Compassionate Use of Medicine for an Individual Patient</w:t>
        </w:r>
        <w:r w:rsidR="00036416">
          <w:rPr>
            <w:webHidden/>
          </w:rPr>
          <w:tab/>
        </w:r>
        <w:r w:rsidR="00036416">
          <w:rPr>
            <w:webHidden/>
          </w:rPr>
          <w:fldChar w:fldCharType="begin"/>
        </w:r>
        <w:r w:rsidR="00036416">
          <w:rPr>
            <w:webHidden/>
          </w:rPr>
          <w:instrText xml:space="preserve"> PAGEREF _Toc46149903 \h </w:instrText>
        </w:r>
        <w:r w:rsidR="00036416">
          <w:rPr>
            <w:webHidden/>
          </w:rPr>
        </w:r>
        <w:r w:rsidR="00036416">
          <w:rPr>
            <w:webHidden/>
          </w:rPr>
          <w:fldChar w:fldCharType="separate"/>
        </w:r>
        <w:r w:rsidR="00036416">
          <w:rPr>
            <w:webHidden/>
          </w:rPr>
          <w:t>8</w:t>
        </w:r>
        <w:r w:rsidR="00036416">
          <w:rPr>
            <w:webHidden/>
          </w:rPr>
          <w:fldChar w:fldCharType="end"/>
        </w:r>
      </w:hyperlink>
    </w:p>
    <w:p w14:paraId="2D5C4C87" w14:textId="2A61E055" w:rsidR="00036416" w:rsidRDefault="00FF2EF0">
      <w:pPr>
        <w:pStyle w:val="TOC1"/>
        <w:rPr>
          <w:rFonts w:eastAsiaTheme="minorEastAsia"/>
          <w:b w:val="0"/>
        </w:rPr>
      </w:pPr>
      <w:hyperlink w:anchor="_Toc46149904" w:history="1">
        <w:r w:rsidR="00036416" w:rsidRPr="00652922">
          <w:rPr>
            <w:rStyle w:val="Hyperlink"/>
          </w:rPr>
          <w:t>7.0 Application for Compassionate Use of Medicine for a Group of Patients</w:t>
        </w:r>
        <w:r w:rsidR="00036416">
          <w:rPr>
            <w:webHidden/>
          </w:rPr>
          <w:tab/>
        </w:r>
        <w:r w:rsidR="00036416">
          <w:rPr>
            <w:webHidden/>
          </w:rPr>
          <w:fldChar w:fldCharType="begin"/>
        </w:r>
        <w:r w:rsidR="00036416">
          <w:rPr>
            <w:webHidden/>
          </w:rPr>
          <w:instrText xml:space="preserve"> PAGEREF _Toc46149904 \h </w:instrText>
        </w:r>
        <w:r w:rsidR="00036416">
          <w:rPr>
            <w:webHidden/>
          </w:rPr>
        </w:r>
        <w:r w:rsidR="00036416">
          <w:rPr>
            <w:webHidden/>
          </w:rPr>
          <w:fldChar w:fldCharType="separate"/>
        </w:r>
        <w:r w:rsidR="00036416">
          <w:rPr>
            <w:webHidden/>
          </w:rPr>
          <w:t>10</w:t>
        </w:r>
        <w:r w:rsidR="00036416">
          <w:rPr>
            <w:webHidden/>
          </w:rPr>
          <w:fldChar w:fldCharType="end"/>
        </w:r>
      </w:hyperlink>
    </w:p>
    <w:p w14:paraId="48F0AB1D" w14:textId="5743FA84" w:rsidR="00036416" w:rsidRDefault="00FF2EF0">
      <w:pPr>
        <w:pStyle w:val="TOC1"/>
        <w:rPr>
          <w:rFonts w:eastAsiaTheme="minorEastAsia"/>
          <w:b w:val="0"/>
        </w:rPr>
      </w:pPr>
      <w:hyperlink w:anchor="_Toc46149905" w:history="1">
        <w:r w:rsidR="00036416" w:rsidRPr="00652922">
          <w:rPr>
            <w:rStyle w:val="Hyperlink"/>
          </w:rPr>
          <w:t>8.0 Plans for Compassionate Use Application Processing by NRAs and ECs</w:t>
        </w:r>
        <w:r w:rsidR="00036416">
          <w:rPr>
            <w:webHidden/>
          </w:rPr>
          <w:tab/>
        </w:r>
        <w:r w:rsidR="00036416">
          <w:rPr>
            <w:webHidden/>
          </w:rPr>
          <w:fldChar w:fldCharType="begin"/>
        </w:r>
        <w:r w:rsidR="00036416">
          <w:rPr>
            <w:webHidden/>
          </w:rPr>
          <w:instrText xml:space="preserve"> PAGEREF _Toc46149905 \h </w:instrText>
        </w:r>
        <w:r w:rsidR="00036416">
          <w:rPr>
            <w:webHidden/>
          </w:rPr>
        </w:r>
        <w:r w:rsidR="00036416">
          <w:rPr>
            <w:webHidden/>
          </w:rPr>
          <w:fldChar w:fldCharType="separate"/>
        </w:r>
        <w:r w:rsidR="00036416">
          <w:rPr>
            <w:webHidden/>
          </w:rPr>
          <w:t>12</w:t>
        </w:r>
        <w:r w:rsidR="00036416">
          <w:rPr>
            <w:webHidden/>
          </w:rPr>
          <w:fldChar w:fldCharType="end"/>
        </w:r>
      </w:hyperlink>
    </w:p>
    <w:p w14:paraId="53E149BB" w14:textId="588EF2D9" w:rsidR="00036416" w:rsidRDefault="00FF2EF0">
      <w:pPr>
        <w:pStyle w:val="TOC1"/>
        <w:rPr>
          <w:rFonts w:eastAsiaTheme="minorEastAsia"/>
          <w:b w:val="0"/>
        </w:rPr>
      </w:pPr>
      <w:hyperlink w:anchor="_Toc46149906" w:history="1">
        <w:r w:rsidR="00036416" w:rsidRPr="00652922">
          <w:rPr>
            <w:rStyle w:val="Hyperlink"/>
          </w:rPr>
          <w:t>9.0 Marketing Authorization Options for Compassionate Use in Public Health Emergencies</w:t>
        </w:r>
        <w:r w:rsidR="00036416">
          <w:rPr>
            <w:webHidden/>
          </w:rPr>
          <w:tab/>
        </w:r>
        <w:r w:rsidR="00036416">
          <w:rPr>
            <w:webHidden/>
          </w:rPr>
          <w:fldChar w:fldCharType="begin"/>
        </w:r>
        <w:r w:rsidR="00036416">
          <w:rPr>
            <w:webHidden/>
          </w:rPr>
          <w:instrText xml:space="preserve"> PAGEREF _Toc46149906 \h </w:instrText>
        </w:r>
        <w:r w:rsidR="00036416">
          <w:rPr>
            <w:webHidden/>
          </w:rPr>
        </w:r>
        <w:r w:rsidR="00036416">
          <w:rPr>
            <w:webHidden/>
          </w:rPr>
          <w:fldChar w:fldCharType="separate"/>
        </w:r>
        <w:r w:rsidR="00036416">
          <w:rPr>
            <w:webHidden/>
          </w:rPr>
          <w:t>12</w:t>
        </w:r>
        <w:r w:rsidR="00036416">
          <w:rPr>
            <w:webHidden/>
          </w:rPr>
          <w:fldChar w:fldCharType="end"/>
        </w:r>
      </w:hyperlink>
    </w:p>
    <w:p w14:paraId="04D66EBE" w14:textId="32189643" w:rsidR="00036416" w:rsidRDefault="00FF2EF0">
      <w:pPr>
        <w:pStyle w:val="TOC1"/>
        <w:rPr>
          <w:rFonts w:eastAsiaTheme="minorEastAsia"/>
          <w:b w:val="0"/>
        </w:rPr>
      </w:pPr>
      <w:hyperlink w:anchor="_Toc46149907" w:history="1">
        <w:r w:rsidR="00036416" w:rsidRPr="00652922">
          <w:rPr>
            <w:rStyle w:val="Hyperlink"/>
          </w:rPr>
          <w:t>10.0 Fees for Compassionate Use</w:t>
        </w:r>
        <w:r w:rsidR="00036416">
          <w:rPr>
            <w:webHidden/>
          </w:rPr>
          <w:tab/>
        </w:r>
        <w:r w:rsidR="00036416">
          <w:rPr>
            <w:webHidden/>
          </w:rPr>
          <w:fldChar w:fldCharType="begin"/>
        </w:r>
        <w:r w:rsidR="00036416">
          <w:rPr>
            <w:webHidden/>
          </w:rPr>
          <w:instrText xml:space="preserve"> PAGEREF _Toc46149907 \h </w:instrText>
        </w:r>
        <w:r w:rsidR="00036416">
          <w:rPr>
            <w:webHidden/>
          </w:rPr>
        </w:r>
        <w:r w:rsidR="00036416">
          <w:rPr>
            <w:webHidden/>
          </w:rPr>
          <w:fldChar w:fldCharType="separate"/>
        </w:r>
        <w:r w:rsidR="00036416">
          <w:rPr>
            <w:webHidden/>
          </w:rPr>
          <w:t>13</w:t>
        </w:r>
        <w:r w:rsidR="00036416">
          <w:rPr>
            <w:webHidden/>
          </w:rPr>
          <w:fldChar w:fldCharType="end"/>
        </w:r>
      </w:hyperlink>
    </w:p>
    <w:p w14:paraId="31632067" w14:textId="3C85417E" w:rsidR="00036416" w:rsidRDefault="00FF2EF0">
      <w:pPr>
        <w:pStyle w:val="TOC1"/>
        <w:rPr>
          <w:rFonts w:eastAsiaTheme="minorEastAsia"/>
          <w:b w:val="0"/>
        </w:rPr>
      </w:pPr>
      <w:hyperlink w:anchor="_Toc46149908" w:history="1">
        <w:r w:rsidR="00036416" w:rsidRPr="00652922">
          <w:rPr>
            <w:rStyle w:val="Hyperlink"/>
          </w:rPr>
          <w:t>References</w:t>
        </w:r>
        <w:r w:rsidR="00036416">
          <w:rPr>
            <w:webHidden/>
          </w:rPr>
          <w:tab/>
        </w:r>
        <w:r w:rsidR="00036416">
          <w:rPr>
            <w:webHidden/>
          </w:rPr>
          <w:fldChar w:fldCharType="begin"/>
        </w:r>
        <w:r w:rsidR="00036416">
          <w:rPr>
            <w:webHidden/>
          </w:rPr>
          <w:instrText xml:space="preserve"> PAGEREF _Toc46149908 \h </w:instrText>
        </w:r>
        <w:r w:rsidR="00036416">
          <w:rPr>
            <w:webHidden/>
          </w:rPr>
        </w:r>
        <w:r w:rsidR="00036416">
          <w:rPr>
            <w:webHidden/>
          </w:rPr>
          <w:fldChar w:fldCharType="separate"/>
        </w:r>
        <w:r w:rsidR="00036416">
          <w:rPr>
            <w:webHidden/>
          </w:rPr>
          <w:t>13</w:t>
        </w:r>
        <w:r w:rsidR="00036416">
          <w:rPr>
            <w:webHidden/>
          </w:rPr>
          <w:fldChar w:fldCharType="end"/>
        </w:r>
      </w:hyperlink>
    </w:p>
    <w:p w14:paraId="29F64D9A" w14:textId="6E316974" w:rsidR="00814F88" w:rsidRPr="009B3AD2" w:rsidRDefault="00FE6F62" w:rsidP="00814F88">
      <w:pPr>
        <w:rPr>
          <w:rFonts w:ascii="Times New Roman" w:hAnsi="Times New Roman" w:cs="Times New Roman"/>
        </w:rPr>
      </w:pPr>
      <w:r w:rsidRPr="009B3AD2">
        <w:rPr>
          <w:rFonts w:ascii="Times New Roman" w:hAnsi="Times New Roman" w:cs="Times New Roman"/>
        </w:rPr>
        <w:fldChar w:fldCharType="end"/>
      </w:r>
    </w:p>
    <w:p w14:paraId="690BE881" w14:textId="77777777" w:rsidR="0057174D" w:rsidRDefault="0057174D">
      <w:pPr>
        <w:rPr>
          <w:rFonts w:ascii="Times New Roman"/>
          <w:b/>
          <w:sz w:val="28"/>
        </w:rPr>
      </w:pPr>
    </w:p>
    <w:p w14:paraId="08E39BB8" w14:textId="77777777" w:rsidR="003A4775" w:rsidRDefault="003A4775" w:rsidP="00B62C1E">
      <w:pPr>
        <w:pStyle w:val="Heading1"/>
        <w:ind w:left="156"/>
        <w:rPr>
          <w:sz w:val="24"/>
          <w:szCs w:val="24"/>
        </w:rPr>
      </w:pPr>
    </w:p>
    <w:p w14:paraId="4027EFF3" w14:textId="77777777" w:rsidR="007904F7" w:rsidRDefault="007904F7" w:rsidP="007904F7">
      <w:pPr>
        <w:tabs>
          <w:tab w:val="center" w:pos="4680"/>
        </w:tabs>
        <w:jc w:val="center"/>
        <w:rPr>
          <w:sz w:val="24"/>
          <w:szCs w:val="24"/>
        </w:rPr>
      </w:pPr>
    </w:p>
    <w:p w14:paraId="1ED9A92E" w14:textId="03752563" w:rsidR="003E11EE" w:rsidRDefault="003E11EE" w:rsidP="007904F7">
      <w:pPr>
        <w:tabs>
          <w:tab w:val="center" w:pos="4680"/>
        </w:tabs>
        <w:rPr>
          <w:rFonts w:ascii="Times New Roman" w:eastAsia="Times New Roman" w:hAnsi="Times New Roman"/>
          <w:b/>
          <w:bCs/>
          <w:sz w:val="24"/>
          <w:szCs w:val="24"/>
        </w:rPr>
      </w:pPr>
      <w:r w:rsidRPr="007904F7">
        <w:rPr>
          <w:sz w:val="24"/>
          <w:szCs w:val="24"/>
        </w:rPr>
        <w:br w:type="page"/>
      </w:r>
      <w:r w:rsidR="007904F7">
        <w:rPr>
          <w:sz w:val="24"/>
          <w:szCs w:val="24"/>
        </w:rPr>
        <w:lastRenderedPageBreak/>
        <w:tab/>
      </w:r>
    </w:p>
    <w:p w14:paraId="293E2061" w14:textId="77777777" w:rsidR="00880815" w:rsidRDefault="00880815" w:rsidP="00140934">
      <w:pPr>
        <w:pStyle w:val="Heading1"/>
      </w:pPr>
    </w:p>
    <w:p w14:paraId="2594AD94" w14:textId="77777777" w:rsidR="00880815" w:rsidRDefault="00880815" w:rsidP="00140934">
      <w:pPr>
        <w:pStyle w:val="Heading1"/>
      </w:pPr>
    </w:p>
    <w:p w14:paraId="62CE6AC7" w14:textId="77777777" w:rsidR="00880815" w:rsidRDefault="00880815" w:rsidP="00140934">
      <w:pPr>
        <w:pStyle w:val="Heading1"/>
      </w:pPr>
    </w:p>
    <w:p w14:paraId="1F40B310" w14:textId="2C967038" w:rsidR="000141A0" w:rsidRDefault="009122D7" w:rsidP="00036416">
      <w:pPr>
        <w:pStyle w:val="Heading1"/>
        <w:numPr>
          <w:ilvl w:val="0"/>
          <w:numId w:val="21"/>
        </w:numPr>
      </w:pPr>
      <w:bookmarkStart w:id="1" w:name="_Toc46149898"/>
      <w:r>
        <w:t>Definitions</w:t>
      </w:r>
      <w:bookmarkEnd w:id="1"/>
    </w:p>
    <w:p w14:paraId="709A02FF" w14:textId="77777777" w:rsidR="00C2582F" w:rsidRDefault="00C2582F" w:rsidP="00036416">
      <w:pPr>
        <w:pStyle w:val="Heading1"/>
        <w:ind w:left="364" w:firstLine="0"/>
      </w:pPr>
    </w:p>
    <w:p w14:paraId="7FAD8F26" w14:textId="142797DD" w:rsidR="008F217B" w:rsidRDefault="00B35DAA" w:rsidP="000C5B88">
      <w:pPr>
        <w:pStyle w:val="BodyText"/>
        <w:numPr>
          <w:ilvl w:val="0"/>
          <w:numId w:val="24"/>
        </w:numPr>
        <w:tabs>
          <w:tab w:val="left" w:pos="1847"/>
        </w:tabs>
        <w:rPr>
          <w:i/>
        </w:rPr>
      </w:pPr>
      <w:r w:rsidRPr="000C5B88">
        <w:rPr>
          <w:b/>
          <w:i/>
          <w:color w:val="0D0D0D" w:themeColor="text1" w:themeTint="F2"/>
        </w:rPr>
        <w:t>“</w:t>
      </w:r>
      <w:r w:rsidR="00C2582F" w:rsidRPr="000C5B88">
        <w:rPr>
          <w:b/>
          <w:i/>
          <w:color w:val="0D0D0D" w:themeColor="text1" w:themeTint="F2"/>
        </w:rPr>
        <w:t>Compassionate use</w:t>
      </w:r>
      <w:r w:rsidRPr="000C5B88">
        <w:rPr>
          <w:b/>
          <w:i/>
          <w:color w:val="0D0D0D" w:themeColor="text1" w:themeTint="F2"/>
        </w:rPr>
        <w:t>”</w:t>
      </w:r>
      <w:r w:rsidR="00D226E6" w:rsidRPr="000C5B88">
        <w:rPr>
          <w:color w:val="0D0D0D" w:themeColor="text1" w:themeTint="F2"/>
        </w:rPr>
        <w:t xml:space="preserve"> is</w:t>
      </w:r>
      <w:r w:rsidR="00AB4034" w:rsidRPr="000C5B88">
        <w:rPr>
          <w:color w:val="0D0D0D" w:themeColor="text1" w:themeTint="F2"/>
        </w:rPr>
        <w:t xml:space="preserve"> the use of an investigational medicinal product </w:t>
      </w:r>
      <w:r w:rsidR="00D226E6" w:rsidRPr="000C5B88">
        <w:rPr>
          <w:color w:val="0D0D0D" w:themeColor="text1" w:themeTint="F2"/>
        </w:rPr>
        <w:t xml:space="preserve">(IMP) </w:t>
      </w:r>
      <w:r w:rsidR="00AB4034" w:rsidRPr="000C5B88">
        <w:rPr>
          <w:color w:val="0D0D0D" w:themeColor="text1" w:themeTint="F2"/>
        </w:rPr>
        <w:t>for patient(s) who cannot be treated satisfactorily with existing treatment options.</w:t>
      </w:r>
      <w:r w:rsidR="00D226E6" w:rsidRPr="000C5B88">
        <w:rPr>
          <w:color w:val="0D0D0D" w:themeColor="text1" w:themeTint="F2"/>
        </w:rPr>
        <w:t xml:space="preserve"> The IMP, and situation must meet eligibility criteria designed to protect the patient.</w:t>
      </w:r>
      <w:r w:rsidR="0089531C" w:rsidRPr="00036416">
        <w:rPr>
          <w:i/>
        </w:rPr>
        <w:tab/>
      </w:r>
    </w:p>
    <w:p w14:paraId="3643A4D8" w14:textId="6146B5D3" w:rsidR="00C2582F" w:rsidRPr="009B2ACF" w:rsidRDefault="009B2ACF" w:rsidP="00036416">
      <w:pPr>
        <w:pStyle w:val="BodyText"/>
        <w:tabs>
          <w:tab w:val="left" w:pos="1847"/>
        </w:tabs>
        <w:ind w:left="720"/>
        <w:rPr>
          <w:i/>
        </w:rPr>
      </w:pPr>
      <w:r>
        <w:rPr>
          <w:i/>
        </w:rPr>
        <w:t>o</w:t>
      </w:r>
      <w:r w:rsidR="002F0BE6" w:rsidRPr="009B2ACF">
        <w:rPr>
          <w:i/>
        </w:rPr>
        <w:t>r</w:t>
      </w:r>
    </w:p>
    <w:p w14:paraId="4F135698" w14:textId="63D6A52A" w:rsidR="002F0BE6" w:rsidRDefault="002F0BE6" w:rsidP="00036416">
      <w:pPr>
        <w:pStyle w:val="BodyText"/>
        <w:tabs>
          <w:tab w:val="left" w:pos="1847"/>
        </w:tabs>
        <w:ind w:left="720"/>
      </w:pPr>
      <w:r w:rsidRPr="000C5B88">
        <w:rPr>
          <w:b/>
          <w:i/>
          <w:color w:val="0D0D0D" w:themeColor="text1" w:themeTint="F2"/>
        </w:rPr>
        <w:t>“Compassionate use”</w:t>
      </w:r>
      <w:r w:rsidRPr="002F0BE6">
        <w:rPr>
          <w:i/>
        </w:rPr>
        <w:t xml:space="preserve"> </w:t>
      </w:r>
      <w:r w:rsidRPr="000C5B88">
        <w:t xml:space="preserve">is a treatment option that allows the use of an unauthorized medicine. Under strict conditions, products in development can be made available to </w:t>
      </w:r>
      <w:r>
        <w:t xml:space="preserve">individual patients or </w:t>
      </w:r>
      <w:r w:rsidRPr="000C5B88">
        <w:t>groups of patients who have a disease with no satisfactory authorized therapies and who cannot enter clinical trials.</w:t>
      </w:r>
    </w:p>
    <w:p w14:paraId="2BFF480F" w14:textId="77777777" w:rsidR="002F0BE6" w:rsidRPr="00036416" w:rsidRDefault="002F0BE6" w:rsidP="00036416">
      <w:pPr>
        <w:pStyle w:val="BodyText"/>
        <w:tabs>
          <w:tab w:val="left" w:pos="1847"/>
        </w:tabs>
        <w:ind w:left="720"/>
        <w:rPr>
          <w:i/>
        </w:rPr>
      </w:pPr>
    </w:p>
    <w:p w14:paraId="3A91B8FC" w14:textId="4DF9BDB2" w:rsidR="008F217B" w:rsidRDefault="008F217B" w:rsidP="000C5B88">
      <w:pPr>
        <w:pStyle w:val="BodyText"/>
        <w:numPr>
          <w:ilvl w:val="0"/>
          <w:numId w:val="24"/>
        </w:numPr>
      </w:pPr>
      <w:r w:rsidRPr="000C5B88">
        <w:rPr>
          <w:b/>
        </w:rPr>
        <w:t xml:space="preserve"> “</w:t>
      </w:r>
      <w:r w:rsidRPr="00503A64">
        <w:rPr>
          <w:b/>
          <w:i/>
        </w:rPr>
        <w:t>Group of patients</w:t>
      </w:r>
      <w:r w:rsidRPr="000C5B88">
        <w:rPr>
          <w:b/>
        </w:rPr>
        <w:t>”</w:t>
      </w:r>
      <w:r w:rsidRPr="00086852">
        <w:t xml:space="preserve"> </w:t>
      </w:r>
      <w:r w:rsidR="009C14C0" w:rsidRPr="00086852">
        <w:t>is</w:t>
      </w:r>
      <w:r w:rsidRPr="00086852">
        <w:t xml:space="preserve"> </w:t>
      </w:r>
      <w:r>
        <w:t>interpreted as any set (i.e. more than one) of individual patients that</w:t>
      </w:r>
      <w:r w:rsidR="003B0224">
        <w:t xml:space="preserve"> </w:t>
      </w:r>
      <w:r>
        <w:t xml:space="preserve">would benefit from a treatment for a specific condition. </w:t>
      </w:r>
    </w:p>
    <w:p w14:paraId="04663A44" w14:textId="77777777" w:rsidR="003B0224" w:rsidRDefault="003B0224" w:rsidP="00D161E6">
      <w:pPr>
        <w:pStyle w:val="BodyText"/>
      </w:pPr>
    </w:p>
    <w:p w14:paraId="03726E1F" w14:textId="00EF294A" w:rsidR="008F217B" w:rsidRPr="00503A64" w:rsidRDefault="008F217B" w:rsidP="000C5B88">
      <w:pPr>
        <w:pStyle w:val="BodyText"/>
        <w:numPr>
          <w:ilvl w:val="0"/>
          <w:numId w:val="24"/>
        </w:numPr>
        <w:rPr>
          <w:b/>
          <w:i/>
        </w:rPr>
      </w:pPr>
      <w:r w:rsidRPr="000C5B88">
        <w:rPr>
          <w:b/>
        </w:rPr>
        <w:t xml:space="preserve"> “</w:t>
      </w:r>
      <w:r w:rsidRPr="00503A64">
        <w:rPr>
          <w:b/>
          <w:i/>
        </w:rPr>
        <w:t xml:space="preserve">Chronically or seriously debilitating disease or disease considered </w:t>
      </w:r>
      <w:r w:rsidR="009C14C0" w:rsidRPr="00503A64">
        <w:rPr>
          <w:b/>
          <w:i/>
        </w:rPr>
        <w:t>as</w:t>
      </w:r>
      <w:r w:rsidRPr="00503A64">
        <w:rPr>
          <w:b/>
          <w:i/>
        </w:rPr>
        <w:t xml:space="preserve"> life</w:t>
      </w:r>
      <w:r w:rsidR="009C14C0" w:rsidRPr="00503A64">
        <w:rPr>
          <w:b/>
          <w:i/>
        </w:rPr>
        <w:t>-</w:t>
      </w:r>
    </w:p>
    <w:p w14:paraId="354E019C" w14:textId="32F48BAE" w:rsidR="00535F7B" w:rsidRDefault="008F217B" w:rsidP="000C5B88">
      <w:pPr>
        <w:pStyle w:val="BodyText"/>
        <w:ind w:left="720"/>
      </w:pPr>
      <w:r w:rsidRPr="00503A64">
        <w:rPr>
          <w:b/>
          <w:i/>
        </w:rPr>
        <w:t>threatening</w:t>
      </w:r>
      <w:r w:rsidRPr="000C5B88">
        <w:rPr>
          <w:b/>
        </w:rPr>
        <w:t>”</w:t>
      </w:r>
      <w:r>
        <w:t>: The severity of the disease, i.e., its chronically or seriously debilitating, or life</w:t>
      </w:r>
      <w:r w:rsidR="009B2ACF">
        <w:t>-</w:t>
      </w:r>
      <w:r>
        <w:t>threatening nature needs to be justified, based on objective and quantifiable medical or</w:t>
      </w:r>
      <w:r w:rsidR="00FA5CD8">
        <w:t xml:space="preserve"> </w:t>
      </w:r>
      <w:r>
        <w:t xml:space="preserve">epidemiologic data. Whereas a life-threatening condition is relatively easily </w:t>
      </w:r>
      <w:r w:rsidR="0064748F">
        <w:t>recognizable</w:t>
      </w:r>
      <w:r>
        <w:t>,</w:t>
      </w:r>
      <w:r w:rsidR="00FA5CD8">
        <w:t xml:space="preserve"> </w:t>
      </w:r>
      <w:r>
        <w:t>definitions of what conditions are chronic and seriously debilit</w:t>
      </w:r>
      <w:r w:rsidR="003B0224">
        <w:t xml:space="preserve">ating should consider aspects of the condition </w:t>
      </w:r>
      <w:r>
        <w:t>associated with morbidity that has substantial impact on patients’ day-to</w:t>
      </w:r>
      <w:r w:rsidR="00EF188F">
        <w:t>-</w:t>
      </w:r>
      <w:r>
        <w:t>day functioning and will progress if left untreated. Typical examples are cancer, HIV/AIDS,</w:t>
      </w:r>
      <w:r w:rsidR="00FA5CD8">
        <w:t xml:space="preserve"> </w:t>
      </w:r>
      <w:r>
        <w:t>neuro</w:t>
      </w:r>
      <w:r w:rsidR="00EF188F">
        <w:t>-</w:t>
      </w:r>
      <w:r>
        <w:t xml:space="preserve">degenerative disorders and auto-immune diseases. </w:t>
      </w:r>
    </w:p>
    <w:p w14:paraId="7358206D" w14:textId="2DE3F816" w:rsidR="00C2582F" w:rsidRDefault="00C2582F" w:rsidP="00D161E6">
      <w:pPr>
        <w:pStyle w:val="BodyText"/>
      </w:pPr>
    </w:p>
    <w:p w14:paraId="1DB14088" w14:textId="6019909C" w:rsidR="00C2582F" w:rsidRPr="000C5B88" w:rsidRDefault="009B2ACF" w:rsidP="000C5B88">
      <w:pPr>
        <w:pStyle w:val="BodyText"/>
        <w:numPr>
          <w:ilvl w:val="0"/>
          <w:numId w:val="24"/>
        </w:numPr>
        <w:rPr>
          <w:i/>
          <w:color w:val="0D0D0D" w:themeColor="text1" w:themeTint="F2"/>
        </w:rPr>
      </w:pPr>
      <w:r w:rsidRPr="000C5B88">
        <w:rPr>
          <w:b/>
          <w:i/>
          <w:color w:val="0D0D0D" w:themeColor="text1" w:themeTint="F2"/>
        </w:rPr>
        <w:t>“Emergency Use List”</w:t>
      </w:r>
      <w:r w:rsidR="00A5680F" w:rsidRPr="000C5B88">
        <w:rPr>
          <w:i/>
          <w:color w:val="0D0D0D" w:themeColor="text1" w:themeTint="F2"/>
        </w:rPr>
        <w:t xml:space="preserve"> </w:t>
      </w:r>
      <w:r w:rsidR="00A5680F" w:rsidRPr="000C5B88">
        <w:rPr>
          <w:color w:val="0D0D0D" w:themeColor="text1" w:themeTint="F2"/>
        </w:rPr>
        <w:t>refers to the World Health Organization, Emergency Use List which is a list of investigational medicinal products which have completed pre-clinical studies and have gone into clinical trials. These investigational products show a positive benefit/risk advantage over existing available therapy and may be suitable for compassionate use in the context of a pandemic or epidemic situation</w:t>
      </w:r>
      <w:r w:rsidR="00D226E6">
        <w:rPr>
          <w:i/>
          <w:color w:val="0D0D0D" w:themeColor="text1" w:themeTint="F2"/>
        </w:rPr>
        <w:t>.</w:t>
      </w:r>
    </w:p>
    <w:p w14:paraId="6A6C2148" w14:textId="77777777" w:rsidR="00535F7B" w:rsidRPr="000C5B88" w:rsidRDefault="00535F7B" w:rsidP="00535F7B">
      <w:pPr>
        <w:pStyle w:val="BodyText"/>
        <w:rPr>
          <w:color w:val="0D0D0D" w:themeColor="text1" w:themeTint="F2"/>
        </w:rPr>
      </w:pPr>
    </w:p>
    <w:p w14:paraId="734EB432" w14:textId="178514CE" w:rsidR="00535F7B" w:rsidRDefault="00E66E77" w:rsidP="000C5B88">
      <w:pPr>
        <w:pStyle w:val="BodyText"/>
        <w:numPr>
          <w:ilvl w:val="0"/>
          <w:numId w:val="24"/>
        </w:numPr>
      </w:pPr>
      <w:r>
        <w:rPr>
          <w:b/>
          <w:i/>
        </w:rPr>
        <w:t xml:space="preserve">“life- threatening”, </w:t>
      </w:r>
      <w:r w:rsidR="00535F7B">
        <w:t>in the defin</w:t>
      </w:r>
      <w:r w:rsidR="00D161E6">
        <w:t>ition above</w:t>
      </w:r>
      <w:r w:rsidR="00535F7B">
        <w:t xml:space="preserve"> refers to an</w:t>
      </w:r>
      <w:r w:rsidR="00D161E6">
        <w:t xml:space="preserve"> </w:t>
      </w:r>
      <w:r w:rsidR="00535F7B">
        <w:t>event in which the patient was at risk of death at the time of the event; it</w:t>
      </w:r>
      <w:r w:rsidR="00D161E6">
        <w:t xml:space="preserve"> </w:t>
      </w:r>
      <w:r w:rsidR="00535F7B">
        <w:t xml:space="preserve">does not refer to an event </w:t>
      </w:r>
      <w:r>
        <w:t>that</w:t>
      </w:r>
      <w:r w:rsidR="00535F7B">
        <w:t xml:space="preserve"> hypothetically might have caused death if it</w:t>
      </w:r>
      <w:r w:rsidR="00D161E6">
        <w:t xml:space="preserve"> </w:t>
      </w:r>
      <w:r w:rsidR="00535F7B">
        <w:t>were more sever</w:t>
      </w:r>
      <w:r w:rsidR="00D161E6">
        <w:t xml:space="preserve">e. The event described as ‘life-threatening’, </w:t>
      </w:r>
      <w:r w:rsidR="00535F7B">
        <w:t xml:space="preserve">requires inpatient </w:t>
      </w:r>
      <w:r w:rsidR="00D161E6">
        <w:t>hospitalization</w:t>
      </w:r>
      <w:r w:rsidR="00535F7B">
        <w:t xml:space="preserve"> or prolongation of existing</w:t>
      </w:r>
      <w:r w:rsidR="00D161E6">
        <w:t xml:space="preserve"> hospitalization</w:t>
      </w:r>
      <w:r w:rsidR="00535F7B">
        <w:t>, or results in persistent or signi</w:t>
      </w:r>
      <w:r w:rsidR="00D161E6">
        <w:t>ficant disability/incapacity.</w:t>
      </w:r>
    </w:p>
    <w:p w14:paraId="490547AD" w14:textId="5CC764E9" w:rsidR="008F217B" w:rsidRDefault="008F217B" w:rsidP="00D161E6">
      <w:pPr>
        <w:pStyle w:val="BodyText"/>
        <w:ind w:left="0"/>
      </w:pPr>
    </w:p>
    <w:p w14:paraId="3D606DD0" w14:textId="27FA6E40" w:rsidR="008F217B" w:rsidRDefault="008F217B" w:rsidP="000C5B88">
      <w:pPr>
        <w:pStyle w:val="BodyText"/>
        <w:numPr>
          <w:ilvl w:val="0"/>
          <w:numId w:val="24"/>
        </w:numPr>
      </w:pPr>
      <w:r w:rsidRPr="00E66E77">
        <w:rPr>
          <w:b/>
        </w:rPr>
        <w:t>“</w:t>
      </w:r>
      <w:r w:rsidRPr="00D161E6">
        <w:rPr>
          <w:b/>
          <w:i/>
        </w:rPr>
        <w:t>Patients who cannot be treated satisfactorily</w:t>
      </w:r>
      <w:r w:rsidRPr="00E66E77">
        <w:rPr>
          <w:b/>
        </w:rPr>
        <w:t>”</w:t>
      </w:r>
      <w:r>
        <w:t xml:space="preserve">, </w:t>
      </w:r>
      <w:r w:rsidR="003B0224">
        <w:t xml:space="preserve">means patients </w:t>
      </w:r>
      <w:r>
        <w:t>without treatment options or patients whose disease does not respond or relapses to available</w:t>
      </w:r>
      <w:r w:rsidR="003B0224">
        <w:t xml:space="preserve"> </w:t>
      </w:r>
      <w:r>
        <w:t xml:space="preserve">treatments, or for whom the </w:t>
      </w:r>
      <w:r w:rsidR="00EF188F">
        <w:t xml:space="preserve">available </w:t>
      </w:r>
      <w:r>
        <w:t xml:space="preserve">treatments are contraindicated or inadequate. </w:t>
      </w:r>
    </w:p>
    <w:p w14:paraId="42B0E142" w14:textId="7D46297B" w:rsidR="00E2556C" w:rsidRDefault="00E2556C" w:rsidP="00E66E77">
      <w:pPr>
        <w:pStyle w:val="BodyText"/>
      </w:pPr>
    </w:p>
    <w:p w14:paraId="07B24CEC" w14:textId="6FDA965D" w:rsidR="00E2556C" w:rsidRDefault="00E2556C" w:rsidP="000C5B88">
      <w:pPr>
        <w:pStyle w:val="BodyText"/>
        <w:numPr>
          <w:ilvl w:val="0"/>
          <w:numId w:val="24"/>
        </w:numPr>
      </w:pPr>
      <w:r w:rsidRPr="00E2556C">
        <w:rPr>
          <w:b/>
          <w:i/>
        </w:rPr>
        <w:lastRenderedPageBreak/>
        <w:t>“off-label use</w:t>
      </w:r>
      <w:r w:rsidR="00EF188F">
        <w:t xml:space="preserve">” </w:t>
      </w:r>
      <w:r w:rsidR="00503A64" w:rsidRPr="00503A64">
        <w:t>“means any use not authorized as part of the marketing authorization (e.g. unapproved indication or in an unapproved age group, dosage, or route of administration)”</w:t>
      </w:r>
    </w:p>
    <w:p w14:paraId="5C45933C" w14:textId="1BFA9761" w:rsidR="001D48BF" w:rsidRDefault="001D48BF" w:rsidP="00E66E77">
      <w:pPr>
        <w:pStyle w:val="BodyText"/>
      </w:pPr>
    </w:p>
    <w:p w14:paraId="56252F9E" w14:textId="28680C8A" w:rsidR="00010B2F" w:rsidRPr="000C5B88" w:rsidRDefault="00A5680F" w:rsidP="000C5B88">
      <w:pPr>
        <w:pStyle w:val="BodyText"/>
        <w:numPr>
          <w:ilvl w:val="0"/>
          <w:numId w:val="24"/>
        </w:numPr>
        <w:rPr>
          <w:color w:val="0D0D0D" w:themeColor="text1" w:themeTint="F2"/>
        </w:rPr>
      </w:pPr>
      <w:r w:rsidRPr="000C5B88">
        <w:rPr>
          <w:b/>
          <w:i/>
          <w:color w:val="0D0D0D" w:themeColor="text1" w:themeTint="F2"/>
        </w:rPr>
        <w:t>“</w:t>
      </w:r>
      <w:r w:rsidR="00C2582F" w:rsidRPr="000C5B88">
        <w:rPr>
          <w:b/>
          <w:i/>
          <w:color w:val="0D0D0D" w:themeColor="text1" w:themeTint="F2"/>
        </w:rPr>
        <w:t>orphan medicine</w:t>
      </w:r>
      <w:r w:rsidRPr="000C5B88">
        <w:rPr>
          <w:b/>
          <w:i/>
          <w:color w:val="0D0D0D" w:themeColor="text1" w:themeTint="F2"/>
        </w:rPr>
        <w:t>”</w:t>
      </w:r>
      <w:r w:rsidR="00010B2F" w:rsidRPr="000C5B88">
        <w:rPr>
          <w:i/>
          <w:color w:val="0D0D0D" w:themeColor="text1" w:themeTint="F2"/>
        </w:rPr>
        <w:t xml:space="preserve">, </w:t>
      </w:r>
      <w:r w:rsidR="00010B2F" w:rsidRPr="000C5B88">
        <w:rPr>
          <w:color w:val="0D0D0D" w:themeColor="text1" w:themeTint="F2"/>
        </w:rPr>
        <w:t>is a medicine intended for the treatment, prevention or diagnosis of a disease that is life-threatening or chronically debilitating;</w:t>
      </w:r>
    </w:p>
    <w:p w14:paraId="6BA0B150" w14:textId="73A48B10" w:rsidR="00010B2F" w:rsidRPr="000C5B88" w:rsidRDefault="00010B2F" w:rsidP="000C5B88">
      <w:pPr>
        <w:pStyle w:val="BodyText"/>
        <w:numPr>
          <w:ilvl w:val="0"/>
          <w:numId w:val="25"/>
        </w:numPr>
        <w:rPr>
          <w:color w:val="0D0D0D" w:themeColor="text1" w:themeTint="F2"/>
        </w:rPr>
      </w:pPr>
      <w:r w:rsidRPr="000C5B88">
        <w:rPr>
          <w:color w:val="0D0D0D" w:themeColor="text1" w:themeTint="F2"/>
        </w:rPr>
        <w:t>the prevalence of the condition  must not be more than 5 in 10,000</w:t>
      </w:r>
      <w:r w:rsidR="00AF7A8E">
        <w:rPr>
          <w:color w:val="0D0D0D" w:themeColor="text1" w:themeTint="F2"/>
        </w:rPr>
        <w:t xml:space="preserve"> (at national level/in the country)</w:t>
      </w:r>
      <w:r w:rsidRPr="000C5B88">
        <w:rPr>
          <w:color w:val="0D0D0D" w:themeColor="text1" w:themeTint="F2"/>
        </w:rPr>
        <w:t xml:space="preserve"> or it must be unlikely that marketing of the medicine would generate sufficient returns to justify the investment needed for its development;</w:t>
      </w:r>
    </w:p>
    <w:p w14:paraId="778E19CF" w14:textId="1DDF9764" w:rsidR="001D48BF" w:rsidRPr="000C5B88" w:rsidRDefault="00010B2F" w:rsidP="000C5B88">
      <w:pPr>
        <w:pStyle w:val="BodyText"/>
        <w:numPr>
          <w:ilvl w:val="0"/>
          <w:numId w:val="25"/>
        </w:numPr>
        <w:rPr>
          <w:color w:val="0D0D0D" w:themeColor="text1" w:themeTint="F2"/>
        </w:rPr>
      </w:pPr>
      <w:r w:rsidRPr="000C5B88">
        <w:rPr>
          <w:color w:val="0D0D0D" w:themeColor="text1" w:themeTint="F2"/>
        </w:rPr>
        <w:t xml:space="preserve">no satisfactory method of diagnosis, prevention or treatment of the condition concerned can be </w:t>
      </w:r>
      <w:r w:rsidR="00D226E6" w:rsidRPr="00503A64">
        <w:rPr>
          <w:color w:val="0D0D0D" w:themeColor="text1" w:themeTint="F2"/>
        </w:rPr>
        <w:t>authorized</w:t>
      </w:r>
      <w:r w:rsidRPr="000C5B88">
        <w:rPr>
          <w:color w:val="0D0D0D" w:themeColor="text1" w:themeTint="F2"/>
        </w:rPr>
        <w:t>, or, if such an option exists, the orphan medicine offer</w:t>
      </w:r>
      <w:r w:rsidR="00D226E6">
        <w:rPr>
          <w:color w:val="0D0D0D" w:themeColor="text1" w:themeTint="F2"/>
        </w:rPr>
        <w:t>s</w:t>
      </w:r>
      <w:r w:rsidRPr="000C5B88">
        <w:rPr>
          <w:color w:val="0D0D0D" w:themeColor="text1" w:themeTint="F2"/>
        </w:rPr>
        <w:t xml:space="preserve"> significant </w:t>
      </w:r>
      <w:r w:rsidR="00D226E6">
        <w:rPr>
          <w:color w:val="0D0D0D" w:themeColor="text1" w:themeTint="F2"/>
        </w:rPr>
        <w:t xml:space="preserve">and documented </w:t>
      </w:r>
      <w:r w:rsidRPr="000C5B88">
        <w:rPr>
          <w:color w:val="0D0D0D" w:themeColor="text1" w:themeTint="F2"/>
        </w:rPr>
        <w:t>therapeutic advantage to those affected by the condition.</w:t>
      </w:r>
    </w:p>
    <w:p w14:paraId="550E6156" w14:textId="1B7498DD" w:rsidR="001D48BF" w:rsidRDefault="001D48BF" w:rsidP="003B0224">
      <w:pPr>
        <w:pStyle w:val="BodyText"/>
      </w:pPr>
    </w:p>
    <w:p w14:paraId="06418C70" w14:textId="1AA53E41" w:rsidR="003761CC" w:rsidRDefault="003761CC" w:rsidP="006A503F">
      <w:pPr>
        <w:pStyle w:val="BodyText"/>
        <w:ind w:left="0"/>
      </w:pPr>
    </w:p>
    <w:p w14:paraId="5052034D" w14:textId="77777777" w:rsidR="00EF188F" w:rsidRDefault="00EF188F" w:rsidP="006A503F">
      <w:pPr>
        <w:pStyle w:val="BodyText"/>
        <w:ind w:left="0"/>
      </w:pPr>
    </w:p>
    <w:p w14:paraId="5D99B83B" w14:textId="004F00AD" w:rsidR="00D63020" w:rsidRDefault="00D3133C" w:rsidP="00F87F29">
      <w:pPr>
        <w:pStyle w:val="Heading1"/>
      </w:pPr>
      <w:bookmarkStart w:id="2" w:name="_Toc46149899"/>
      <w:r>
        <w:t xml:space="preserve">2.0 </w:t>
      </w:r>
      <w:r w:rsidR="009122D7">
        <w:t>Acronyms</w:t>
      </w:r>
      <w:bookmarkEnd w:id="2"/>
    </w:p>
    <w:p w14:paraId="78A5F745" w14:textId="77777777" w:rsidR="00487891" w:rsidRPr="00B62C1E" w:rsidRDefault="00487891" w:rsidP="00F87F29">
      <w:pPr>
        <w:pStyle w:val="Heading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8095"/>
      </w:tblGrid>
      <w:tr w:rsidR="00EF188F" w14:paraId="4EB374A5" w14:textId="77777777" w:rsidTr="00635FD6">
        <w:tc>
          <w:tcPr>
            <w:tcW w:w="1255" w:type="dxa"/>
          </w:tcPr>
          <w:p w14:paraId="0FCDFE9B" w14:textId="77777777" w:rsidR="00EF188F" w:rsidRDefault="00EF188F" w:rsidP="005562EC">
            <w:pPr>
              <w:pStyle w:val="BodyText"/>
              <w:ind w:left="0"/>
            </w:pPr>
          </w:p>
        </w:tc>
        <w:tc>
          <w:tcPr>
            <w:tcW w:w="8095" w:type="dxa"/>
          </w:tcPr>
          <w:p w14:paraId="6CAD4816" w14:textId="77777777" w:rsidR="00EF188F" w:rsidRPr="003E068A" w:rsidRDefault="00EF188F" w:rsidP="005562EC">
            <w:pPr>
              <w:pStyle w:val="BodyText"/>
              <w:ind w:left="0"/>
            </w:pPr>
          </w:p>
        </w:tc>
      </w:tr>
      <w:tr w:rsidR="005562EC" w14:paraId="5BE0F283" w14:textId="77777777" w:rsidTr="00635FD6">
        <w:tc>
          <w:tcPr>
            <w:tcW w:w="1255" w:type="dxa"/>
          </w:tcPr>
          <w:p w14:paraId="7E8017C6" w14:textId="2915153B" w:rsidR="005562EC" w:rsidRDefault="005562EC" w:rsidP="005562EC">
            <w:pPr>
              <w:pStyle w:val="BodyText"/>
              <w:ind w:left="0"/>
            </w:pPr>
            <w:r>
              <w:t xml:space="preserve">CTD </w:t>
            </w:r>
          </w:p>
        </w:tc>
        <w:tc>
          <w:tcPr>
            <w:tcW w:w="8095" w:type="dxa"/>
          </w:tcPr>
          <w:p w14:paraId="131D08A2" w14:textId="0BFEDD03" w:rsidR="005562EC" w:rsidRDefault="005562EC" w:rsidP="005562EC">
            <w:pPr>
              <w:pStyle w:val="BodyText"/>
              <w:ind w:left="0"/>
            </w:pPr>
            <w:r w:rsidRPr="003E068A">
              <w:t>Common technical document</w:t>
            </w:r>
          </w:p>
        </w:tc>
      </w:tr>
      <w:tr w:rsidR="00EF188F" w14:paraId="282FC36B" w14:textId="77777777" w:rsidTr="00635FD6">
        <w:tc>
          <w:tcPr>
            <w:tcW w:w="1255" w:type="dxa"/>
          </w:tcPr>
          <w:p w14:paraId="49202B89" w14:textId="212CC3A7" w:rsidR="00EF188F" w:rsidRDefault="00EF188F" w:rsidP="005562EC">
            <w:pPr>
              <w:pStyle w:val="BodyText"/>
              <w:ind w:left="0"/>
            </w:pPr>
            <w:r>
              <w:t>CUA</w:t>
            </w:r>
          </w:p>
        </w:tc>
        <w:tc>
          <w:tcPr>
            <w:tcW w:w="8095" w:type="dxa"/>
          </w:tcPr>
          <w:p w14:paraId="7232F6B7" w14:textId="3CD7F6C3" w:rsidR="00EF188F" w:rsidRPr="003E068A" w:rsidRDefault="00EF188F" w:rsidP="005562EC">
            <w:pPr>
              <w:pStyle w:val="BodyText"/>
              <w:ind w:left="0"/>
            </w:pPr>
            <w:r>
              <w:t>Compassionate Use Application</w:t>
            </w:r>
            <w:r w:rsidR="00010B2F">
              <w:t xml:space="preserve"> </w:t>
            </w:r>
          </w:p>
        </w:tc>
      </w:tr>
      <w:tr w:rsidR="005562EC" w14:paraId="1602F30B" w14:textId="77777777" w:rsidTr="00635FD6">
        <w:tc>
          <w:tcPr>
            <w:tcW w:w="1255" w:type="dxa"/>
          </w:tcPr>
          <w:p w14:paraId="5FC46640" w14:textId="739C5657" w:rsidR="005562EC" w:rsidRDefault="005562EC" w:rsidP="005562EC">
            <w:pPr>
              <w:pStyle w:val="BodyText"/>
              <w:ind w:left="0"/>
            </w:pPr>
            <w:r>
              <w:t xml:space="preserve">DOI </w:t>
            </w:r>
          </w:p>
        </w:tc>
        <w:tc>
          <w:tcPr>
            <w:tcW w:w="8095" w:type="dxa"/>
          </w:tcPr>
          <w:p w14:paraId="0C939D37" w14:textId="44561EED" w:rsidR="005562EC" w:rsidRDefault="005562EC" w:rsidP="005562EC">
            <w:pPr>
              <w:pStyle w:val="BodyText"/>
              <w:ind w:left="0"/>
            </w:pPr>
            <w:r w:rsidRPr="003E068A">
              <w:t>Declaration of Interest</w:t>
            </w:r>
          </w:p>
        </w:tc>
      </w:tr>
      <w:tr w:rsidR="005562EC" w14:paraId="1AE6635B" w14:textId="77777777" w:rsidTr="00635FD6">
        <w:tc>
          <w:tcPr>
            <w:tcW w:w="1255" w:type="dxa"/>
          </w:tcPr>
          <w:p w14:paraId="557C121B" w14:textId="10C1D426" w:rsidR="005562EC" w:rsidRDefault="005562EC" w:rsidP="005562EC">
            <w:pPr>
              <w:pStyle w:val="BodyText"/>
              <w:ind w:left="0"/>
            </w:pPr>
            <w:r>
              <w:t xml:space="preserve">EUL </w:t>
            </w:r>
          </w:p>
        </w:tc>
        <w:tc>
          <w:tcPr>
            <w:tcW w:w="8095" w:type="dxa"/>
          </w:tcPr>
          <w:p w14:paraId="13CF8322" w14:textId="33D43DDE" w:rsidR="005562EC" w:rsidRDefault="005562EC" w:rsidP="005562EC">
            <w:pPr>
              <w:pStyle w:val="BodyText"/>
              <w:ind w:left="0"/>
            </w:pPr>
            <w:r w:rsidRPr="003E068A">
              <w:t>Emergency Use Listing</w:t>
            </w:r>
          </w:p>
        </w:tc>
      </w:tr>
      <w:tr w:rsidR="005562EC" w14:paraId="3A0EBA09" w14:textId="77777777" w:rsidTr="00635FD6">
        <w:tc>
          <w:tcPr>
            <w:tcW w:w="1255" w:type="dxa"/>
          </w:tcPr>
          <w:p w14:paraId="08CB0FDA" w14:textId="74C68F92" w:rsidR="005562EC" w:rsidRDefault="005562EC" w:rsidP="005562EC">
            <w:pPr>
              <w:pStyle w:val="BodyText"/>
              <w:ind w:left="0"/>
            </w:pPr>
            <w:r>
              <w:t xml:space="preserve">GCP </w:t>
            </w:r>
          </w:p>
        </w:tc>
        <w:tc>
          <w:tcPr>
            <w:tcW w:w="8095" w:type="dxa"/>
          </w:tcPr>
          <w:p w14:paraId="712BD81D" w14:textId="2098DE0C" w:rsidR="005562EC" w:rsidRDefault="005562EC" w:rsidP="005562EC">
            <w:pPr>
              <w:pStyle w:val="BodyText"/>
              <w:ind w:left="0"/>
            </w:pPr>
            <w:r w:rsidRPr="003E068A">
              <w:t>Good clinical practice</w:t>
            </w:r>
          </w:p>
        </w:tc>
      </w:tr>
      <w:tr w:rsidR="005562EC" w14:paraId="61B97ED6" w14:textId="77777777" w:rsidTr="00635FD6">
        <w:tc>
          <w:tcPr>
            <w:tcW w:w="1255" w:type="dxa"/>
          </w:tcPr>
          <w:p w14:paraId="394EF479" w14:textId="27623CD9" w:rsidR="005562EC" w:rsidRDefault="005562EC" w:rsidP="005562EC">
            <w:pPr>
              <w:pStyle w:val="BodyText"/>
              <w:ind w:left="0"/>
            </w:pPr>
            <w:r>
              <w:t xml:space="preserve">GLP </w:t>
            </w:r>
          </w:p>
        </w:tc>
        <w:tc>
          <w:tcPr>
            <w:tcW w:w="8095" w:type="dxa"/>
          </w:tcPr>
          <w:p w14:paraId="250591DD" w14:textId="5DC097D0" w:rsidR="005562EC" w:rsidRDefault="005562EC" w:rsidP="005562EC">
            <w:pPr>
              <w:pStyle w:val="BodyText"/>
              <w:ind w:left="0"/>
            </w:pPr>
            <w:r w:rsidRPr="003E068A">
              <w:t>Good laboratory practice</w:t>
            </w:r>
          </w:p>
        </w:tc>
      </w:tr>
      <w:tr w:rsidR="005562EC" w14:paraId="1F3CCFDA" w14:textId="77777777" w:rsidTr="00635FD6">
        <w:tc>
          <w:tcPr>
            <w:tcW w:w="1255" w:type="dxa"/>
          </w:tcPr>
          <w:p w14:paraId="23319AE5" w14:textId="11C22FEA" w:rsidR="005562EC" w:rsidRDefault="005562EC" w:rsidP="005562EC">
            <w:pPr>
              <w:pStyle w:val="BodyText"/>
              <w:ind w:left="0"/>
            </w:pPr>
            <w:r>
              <w:t xml:space="preserve">GMP </w:t>
            </w:r>
          </w:p>
        </w:tc>
        <w:tc>
          <w:tcPr>
            <w:tcW w:w="8095" w:type="dxa"/>
          </w:tcPr>
          <w:p w14:paraId="4110092D" w14:textId="0FDF0896" w:rsidR="005562EC" w:rsidRDefault="005562EC" w:rsidP="005562EC">
            <w:pPr>
              <w:pStyle w:val="BodyText"/>
              <w:ind w:left="0"/>
            </w:pPr>
            <w:r w:rsidRPr="003E068A">
              <w:t>Good manufacturing practices</w:t>
            </w:r>
          </w:p>
        </w:tc>
      </w:tr>
      <w:tr w:rsidR="005562EC" w14:paraId="19DDF111" w14:textId="77777777" w:rsidTr="00635FD6">
        <w:tc>
          <w:tcPr>
            <w:tcW w:w="1255" w:type="dxa"/>
          </w:tcPr>
          <w:p w14:paraId="14C7872A" w14:textId="4C92BCD3" w:rsidR="005562EC" w:rsidRDefault="005562EC" w:rsidP="005562EC">
            <w:pPr>
              <w:pStyle w:val="BodyText"/>
              <w:ind w:left="0"/>
            </w:pPr>
            <w:r>
              <w:t xml:space="preserve">QMS </w:t>
            </w:r>
          </w:p>
        </w:tc>
        <w:tc>
          <w:tcPr>
            <w:tcW w:w="8095" w:type="dxa"/>
          </w:tcPr>
          <w:p w14:paraId="45990191" w14:textId="06505B78" w:rsidR="005562EC" w:rsidRDefault="005562EC" w:rsidP="005562EC">
            <w:pPr>
              <w:pStyle w:val="BodyText"/>
              <w:ind w:left="0"/>
            </w:pPr>
            <w:r w:rsidRPr="003E068A">
              <w:t>Quality Management Systems</w:t>
            </w:r>
          </w:p>
        </w:tc>
      </w:tr>
      <w:tr w:rsidR="005562EC" w14:paraId="3EDE7967" w14:textId="77777777" w:rsidTr="00635FD6">
        <w:tc>
          <w:tcPr>
            <w:tcW w:w="1255" w:type="dxa"/>
          </w:tcPr>
          <w:p w14:paraId="132B952E" w14:textId="686CDA2D" w:rsidR="005562EC" w:rsidRDefault="005562EC" w:rsidP="005562EC">
            <w:pPr>
              <w:pStyle w:val="BodyText"/>
              <w:ind w:left="0"/>
            </w:pPr>
            <w:r>
              <w:t xml:space="preserve">ICH </w:t>
            </w:r>
          </w:p>
        </w:tc>
        <w:tc>
          <w:tcPr>
            <w:tcW w:w="8095" w:type="dxa"/>
          </w:tcPr>
          <w:p w14:paraId="0A06B871" w14:textId="611CBB44" w:rsidR="005562EC" w:rsidRDefault="005562EC" w:rsidP="005562EC">
            <w:pPr>
              <w:pStyle w:val="BodyText"/>
              <w:ind w:left="0"/>
            </w:pPr>
            <w:r w:rsidRPr="003E068A">
              <w:t xml:space="preserve">International Council for </w:t>
            </w:r>
            <w:r w:rsidR="00635FD6" w:rsidRPr="003E068A">
              <w:t>Harmonization</w:t>
            </w:r>
            <w:r w:rsidRPr="003E068A">
              <w:t xml:space="preserve"> of Tec</w:t>
            </w:r>
            <w:r>
              <w:t xml:space="preserve">hnical Requirements </w:t>
            </w:r>
          </w:p>
        </w:tc>
      </w:tr>
      <w:tr w:rsidR="005562EC" w14:paraId="37D75083" w14:textId="77777777" w:rsidTr="00635FD6">
        <w:tc>
          <w:tcPr>
            <w:tcW w:w="1255" w:type="dxa"/>
          </w:tcPr>
          <w:p w14:paraId="760C423E" w14:textId="294EEC14" w:rsidR="005562EC" w:rsidRDefault="005562EC" w:rsidP="005562EC">
            <w:pPr>
              <w:pStyle w:val="BodyText"/>
              <w:ind w:left="0"/>
            </w:pPr>
            <w:r>
              <w:t xml:space="preserve">IVDs </w:t>
            </w:r>
          </w:p>
        </w:tc>
        <w:tc>
          <w:tcPr>
            <w:tcW w:w="8095" w:type="dxa"/>
          </w:tcPr>
          <w:p w14:paraId="4F562BB3" w14:textId="242C77AE" w:rsidR="005562EC" w:rsidRDefault="005562EC" w:rsidP="005562EC">
            <w:pPr>
              <w:pStyle w:val="BodyText"/>
              <w:ind w:left="0"/>
            </w:pPr>
            <w:r w:rsidRPr="003E068A">
              <w:t>In vitro diagnostics</w:t>
            </w:r>
          </w:p>
        </w:tc>
      </w:tr>
      <w:tr w:rsidR="005562EC" w14:paraId="767B948C" w14:textId="77777777" w:rsidTr="00635FD6">
        <w:tc>
          <w:tcPr>
            <w:tcW w:w="1255" w:type="dxa"/>
          </w:tcPr>
          <w:p w14:paraId="55FC2568" w14:textId="280394B7" w:rsidR="005562EC" w:rsidRDefault="005562EC" w:rsidP="005562EC">
            <w:pPr>
              <w:pStyle w:val="BodyText"/>
              <w:ind w:left="0"/>
            </w:pPr>
            <w:r w:rsidRPr="003E068A">
              <w:t>N</w:t>
            </w:r>
            <w:r>
              <w:t xml:space="preserve">RA </w:t>
            </w:r>
          </w:p>
        </w:tc>
        <w:tc>
          <w:tcPr>
            <w:tcW w:w="8095" w:type="dxa"/>
          </w:tcPr>
          <w:p w14:paraId="4533FCF1" w14:textId="4F4E0602" w:rsidR="005562EC" w:rsidRDefault="005562EC" w:rsidP="005562EC">
            <w:pPr>
              <w:pStyle w:val="BodyText"/>
              <w:ind w:left="0"/>
            </w:pPr>
            <w:r w:rsidRPr="003E068A">
              <w:t>National regulatory authority</w:t>
            </w:r>
          </w:p>
        </w:tc>
      </w:tr>
      <w:tr w:rsidR="005562EC" w14:paraId="1F5DCA5B" w14:textId="77777777" w:rsidTr="00635FD6">
        <w:tc>
          <w:tcPr>
            <w:tcW w:w="1255" w:type="dxa"/>
          </w:tcPr>
          <w:p w14:paraId="4D6CBC2A" w14:textId="7E75BE00" w:rsidR="005562EC" w:rsidRDefault="005562EC" w:rsidP="005562EC">
            <w:pPr>
              <w:pStyle w:val="BodyText"/>
              <w:ind w:left="0"/>
            </w:pPr>
            <w:r>
              <w:t xml:space="preserve">PHE </w:t>
            </w:r>
          </w:p>
        </w:tc>
        <w:tc>
          <w:tcPr>
            <w:tcW w:w="8095" w:type="dxa"/>
          </w:tcPr>
          <w:p w14:paraId="5F7B7C56" w14:textId="2CCB5E5F" w:rsidR="005562EC" w:rsidRDefault="005562EC" w:rsidP="005562EC">
            <w:pPr>
              <w:pStyle w:val="BodyText"/>
              <w:ind w:left="0"/>
            </w:pPr>
            <w:r w:rsidRPr="003E068A">
              <w:t>Public Health Emergency</w:t>
            </w:r>
          </w:p>
        </w:tc>
      </w:tr>
      <w:tr w:rsidR="005562EC" w14:paraId="7FCC385C" w14:textId="77777777" w:rsidTr="00635FD6">
        <w:tc>
          <w:tcPr>
            <w:tcW w:w="1255" w:type="dxa"/>
          </w:tcPr>
          <w:p w14:paraId="39F4E87B" w14:textId="1ED82AC8" w:rsidR="005562EC" w:rsidRDefault="00635FD6" w:rsidP="005562EC">
            <w:pPr>
              <w:pStyle w:val="BodyText"/>
              <w:ind w:left="0"/>
            </w:pPr>
            <w:r>
              <w:t xml:space="preserve">PHEIC </w:t>
            </w:r>
          </w:p>
        </w:tc>
        <w:tc>
          <w:tcPr>
            <w:tcW w:w="8095" w:type="dxa"/>
          </w:tcPr>
          <w:p w14:paraId="03877CD2" w14:textId="0998DDB6" w:rsidR="005562EC" w:rsidRDefault="005562EC" w:rsidP="005562EC">
            <w:pPr>
              <w:pStyle w:val="BodyText"/>
              <w:ind w:left="0"/>
            </w:pPr>
            <w:r w:rsidRPr="003E068A">
              <w:t>PHEIC Public Health Emergency of International Concern</w:t>
            </w:r>
          </w:p>
        </w:tc>
      </w:tr>
      <w:tr w:rsidR="005562EC" w14:paraId="444E9C68" w14:textId="77777777" w:rsidTr="00635FD6">
        <w:tc>
          <w:tcPr>
            <w:tcW w:w="1255" w:type="dxa"/>
          </w:tcPr>
          <w:p w14:paraId="415279B1" w14:textId="35014BF6" w:rsidR="005562EC" w:rsidRDefault="005562EC" w:rsidP="005562EC">
            <w:pPr>
              <w:pStyle w:val="BodyText"/>
              <w:ind w:left="0"/>
            </w:pPr>
            <w:r w:rsidRPr="003E068A">
              <w:t>PSU</w:t>
            </w:r>
            <w:r>
              <w:t xml:space="preserve">R </w:t>
            </w:r>
          </w:p>
        </w:tc>
        <w:tc>
          <w:tcPr>
            <w:tcW w:w="8095" w:type="dxa"/>
          </w:tcPr>
          <w:p w14:paraId="14135272" w14:textId="02CA7565" w:rsidR="005562EC" w:rsidRDefault="005562EC" w:rsidP="005562EC">
            <w:pPr>
              <w:pStyle w:val="BodyText"/>
              <w:ind w:left="0"/>
            </w:pPr>
            <w:r w:rsidRPr="003E068A">
              <w:t>Periodic safety updated report</w:t>
            </w:r>
          </w:p>
        </w:tc>
      </w:tr>
      <w:tr w:rsidR="005562EC" w14:paraId="3E5E159F" w14:textId="77777777" w:rsidTr="00635FD6">
        <w:tc>
          <w:tcPr>
            <w:tcW w:w="1255" w:type="dxa"/>
          </w:tcPr>
          <w:p w14:paraId="7A921749" w14:textId="44BF4C05" w:rsidR="005562EC" w:rsidRDefault="005562EC" w:rsidP="005562EC">
            <w:pPr>
              <w:pStyle w:val="BodyText"/>
              <w:ind w:left="0"/>
            </w:pPr>
            <w:r>
              <w:t xml:space="preserve">R&amp;D </w:t>
            </w:r>
          </w:p>
        </w:tc>
        <w:tc>
          <w:tcPr>
            <w:tcW w:w="8095" w:type="dxa"/>
          </w:tcPr>
          <w:p w14:paraId="51943911" w14:textId="2C32EAD8" w:rsidR="005562EC" w:rsidRDefault="005562EC" w:rsidP="005562EC">
            <w:pPr>
              <w:pStyle w:val="BodyText"/>
              <w:ind w:left="0"/>
            </w:pPr>
            <w:r w:rsidRPr="003E068A">
              <w:t>Research and Development</w:t>
            </w:r>
          </w:p>
        </w:tc>
      </w:tr>
      <w:tr w:rsidR="005562EC" w14:paraId="2938FC60" w14:textId="77777777" w:rsidTr="00635FD6">
        <w:tc>
          <w:tcPr>
            <w:tcW w:w="1255" w:type="dxa"/>
          </w:tcPr>
          <w:p w14:paraId="3A8A5072" w14:textId="6F498131" w:rsidR="005562EC" w:rsidRDefault="005562EC" w:rsidP="005562EC">
            <w:pPr>
              <w:pStyle w:val="BodyText"/>
              <w:ind w:left="0"/>
            </w:pPr>
            <w:r>
              <w:t xml:space="preserve">TORs </w:t>
            </w:r>
          </w:p>
        </w:tc>
        <w:tc>
          <w:tcPr>
            <w:tcW w:w="8095" w:type="dxa"/>
          </w:tcPr>
          <w:p w14:paraId="673CF968" w14:textId="3C546818" w:rsidR="005562EC" w:rsidRDefault="005562EC" w:rsidP="005562EC">
            <w:pPr>
              <w:pStyle w:val="BodyText"/>
              <w:ind w:left="0"/>
            </w:pPr>
            <w:r w:rsidRPr="003E068A">
              <w:t>Terms of Reference</w:t>
            </w:r>
          </w:p>
        </w:tc>
      </w:tr>
      <w:tr w:rsidR="005562EC" w14:paraId="7F56CA4A" w14:textId="77777777" w:rsidTr="00635FD6">
        <w:tc>
          <w:tcPr>
            <w:tcW w:w="1255" w:type="dxa"/>
          </w:tcPr>
          <w:p w14:paraId="6B595EBD" w14:textId="276DB326" w:rsidR="005562EC" w:rsidRDefault="005562EC" w:rsidP="005562EC">
            <w:pPr>
              <w:pStyle w:val="BodyText"/>
              <w:ind w:left="0"/>
            </w:pPr>
            <w:r>
              <w:t>WHO</w:t>
            </w:r>
          </w:p>
        </w:tc>
        <w:tc>
          <w:tcPr>
            <w:tcW w:w="8095" w:type="dxa"/>
          </w:tcPr>
          <w:p w14:paraId="5E946E42" w14:textId="572A2219" w:rsidR="005562EC" w:rsidRDefault="005562EC" w:rsidP="005562EC">
            <w:pPr>
              <w:pStyle w:val="BodyText"/>
              <w:ind w:left="0"/>
            </w:pPr>
            <w:r w:rsidRPr="003E068A">
              <w:t xml:space="preserve">World Health Organization </w:t>
            </w:r>
          </w:p>
        </w:tc>
      </w:tr>
    </w:tbl>
    <w:p w14:paraId="411503F5" w14:textId="019B70D4" w:rsidR="005408EE" w:rsidRDefault="005408EE" w:rsidP="005A3F38">
      <w:pPr>
        <w:pStyle w:val="BodyText"/>
        <w:ind w:left="0"/>
      </w:pPr>
    </w:p>
    <w:p w14:paraId="6D3DA00C" w14:textId="3C39BC72" w:rsidR="00D63020" w:rsidRDefault="00D63020" w:rsidP="00D63020">
      <w:pPr>
        <w:pStyle w:val="BodyText"/>
        <w:ind w:left="0"/>
      </w:pPr>
    </w:p>
    <w:p w14:paraId="59847F0F" w14:textId="27636996" w:rsidR="008E76B5" w:rsidRDefault="00D3133C" w:rsidP="00EA27FC">
      <w:pPr>
        <w:pStyle w:val="Heading1"/>
      </w:pPr>
      <w:bookmarkStart w:id="3" w:name="_Toc46149900"/>
      <w:r>
        <w:t>3.0</w:t>
      </w:r>
      <w:r w:rsidR="0053241C" w:rsidRPr="00F40E2F">
        <w:t xml:space="preserve"> </w:t>
      </w:r>
      <w:r w:rsidR="009122D7">
        <w:t>Background</w:t>
      </w:r>
      <w:bookmarkEnd w:id="3"/>
    </w:p>
    <w:p w14:paraId="04908D9A" w14:textId="77777777" w:rsidR="008F217B" w:rsidRDefault="008F217B" w:rsidP="00EA27FC">
      <w:pPr>
        <w:pStyle w:val="Heading1"/>
      </w:pPr>
    </w:p>
    <w:p w14:paraId="3B767D84" w14:textId="54416225" w:rsidR="008F217B" w:rsidRDefault="008F217B" w:rsidP="00E2556C">
      <w:pPr>
        <w:pStyle w:val="BodyText"/>
      </w:pPr>
      <w:r>
        <w:t xml:space="preserve"> In situations where no proven effective treatment exists,</w:t>
      </w:r>
      <w:r w:rsidR="005D4C49">
        <w:t xml:space="preserve"> </w:t>
      </w:r>
      <w:r w:rsidR="0093507C">
        <w:t>offer</w:t>
      </w:r>
      <w:r w:rsidR="005D4C49">
        <w:t>ing</w:t>
      </w:r>
      <w:r w:rsidR="0093507C">
        <w:t xml:space="preserve"> individual patients experimental interventions on an emergency basis outside clini</w:t>
      </w:r>
      <w:r>
        <w:t>cal trials</w:t>
      </w:r>
      <w:r w:rsidR="005D4C49">
        <w:t xml:space="preserve"> can be ethically appropriate</w:t>
      </w:r>
      <w:r>
        <w:t xml:space="preserve">. Similarly, </w:t>
      </w:r>
      <w:r w:rsidR="005D4C49">
        <w:t xml:space="preserve">to address a public health emergency, </w:t>
      </w:r>
      <w:r>
        <w:t xml:space="preserve">a </w:t>
      </w:r>
      <w:r w:rsidR="00633E71">
        <w:t>provision for access to an experimental intervention is ethically appropriate</w:t>
      </w:r>
      <w:r>
        <w:t xml:space="preserve"> in situations where no proven effective </w:t>
      </w:r>
      <w:r>
        <w:lastRenderedPageBreak/>
        <w:t>treatment exists</w:t>
      </w:r>
      <w:r w:rsidR="005D4C49">
        <w:t>.</w:t>
      </w:r>
      <w:r>
        <w:t xml:space="preserve"> </w:t>
      </w:r>
    </w:p>
    <w:p w14:paraId="1E1FC331" w14:textId="58F69B8E" w:rsidR="002C6668" w:rsidRPr="002967B6" w:rsidRDefault="002C6668" w:rsidP="00E2556C">
      <w:pPr>
        <w:pStyle w:val="BodyText"/>
        <w:rPr>
          <w:color w:val="000000" w:themeColor="text1"/>
        </w:rPr>
      </w:pPr>
      <w:r w:rsidRPr="002967B6">
        <w:rPr>
          <w:color w:val="000000" w:themeColor="text1"/>
        </w:rPr>
        <w:t xml:space="preserve">Experimental intervention in the situations described could be therapeutic or prophylactic depending on the specific public health emergency. Generally, compassionate use for an individual patient is </w:t>
      </w:r>
      <w:r w:rsidR="002967B6">
        <w:rPr>
          <w:color w:val="000000" w:themeColor="text1"/>
        </w:rPr>
        <w:t xml:space="preserve">limited to </w:t>
      </w:r>
      <w:r w:rsidRPr="002967B6">
        <w:rPr>
          <w:color w:val="000000" w:themeColor="text1"/>
        </w:rPr>
        <w:t>therapeutic interventions.</w:t>
      </w:r>
    </w:p>
    <w:p w14:paraId="3D0D62F3" w14:textId="32971E46" w:rsidR="008F217B" w:rsidRDefault="008F217B" w:rsidP="00E2556C">
      <w:pPr>
        <w:pStyle w:val="BodyText"/>
      </w:pPr>
    </w:p>
    <w:p w14:paraId="6A712C42" w14:textId="4521F761" w:rsidR="008F217B" w:rsidRDefault="008F217B" w:rsidP="00E2556C">
      <w:pPr>
        <w:pStyle w:val="BodyText"/>
      </w:pPr>
      <w:r>
        <w:t xml:space="preserve">Several countries </w:t>
      </w:r>
      <w:r w:rsidR="00B52163">
        <w:t>have recognized the need to have guidance in place, in the interest of individual patients or coh</w:t>
      </w:r>
      <w:r w:rsidR="001D48BF">
        <w:t>orts of patients to address</w:t>
      </w:r>
      <w:r w:rsidR="0061527E">
        <w:t xml:space="preserve"> situations </w:t>
      </w:r>
      <w:r w:rsidR="001D48BF">
        <w:t>that</w:t>
      </w:r>
      <w:r w:rsidR="00B52163">
        <w:t xml:space="preserve"> do not fit neatly into </w:t>
      </w:r>
      <w:r w:rsidR="00D0379D">
        <w:t xml:space="preserve">the </w:t>
      </w:r>
      <w:r w:rsidR="00B52163">
        <w:t xml:space="preserve">existing system of </w:t>
      </w:r>
      <w:r w:rsidR="00633E71">
        <w:t xml:space="preserve">marketing authorization. </w:t>
      </w:r>
    </w:p>
    <w:p w14:paraId="53856BA1" w14:textId="78AAFB48" w:rsidR="00B52163" w:rsidRDefault="00B52163" w:rsidP="00E2556C">
      <w:pPr>
        <w:pStyle w:val="BodyText"/>
      </w:pPr>
    </w:p>
    <w:p w14:paraId="5276DF22" w14:textId="25BF9179" w:rsidR="0061527E" w:rsidRPr="000C5B88" w:rsidRDefault="0061527E" w:rsidP="00E2556C">
      <w:pPr>
        <w:pStyle w:val="BodyText"/>
        <w:rPr>
          <w:color w:val="0D0D0D" w:themeColor="text1" w:themeTint="F2"/>
        </w:rPr>
      </w:pPr>
      <w:r w:rsidRPr="000C5B88">
        <w:rPr>
          <w:color w:val="0D0D0D" w:themeColor="text1" w:themeTint="F2"/>
        </w:rPr>
        <w:t xml:space="preserve">Where </w:t>
      </w:r>
      <w:r w:rsidR="001D48BF" w:rsidRPr="000C5B88">
        <w:rPr>
          <w:color w:val="0D0D0D" w:themeColor="text1" w:themeTint="F2"/>
        </w:rPr>
        <w:t>possible and feasible for a</w:t>
      </w:r>
      <w:r w:rsidRPr="000C5B88">
        <w:rPr>
          <w:color w:val="0D0D0D" w:themeColor="text1" w:themeTint="F2"/>
        </w:rPr>
        <w:t xml:space="preserve"> treatment to be given as part of a clinical trial, this should be explored as a preferred option.</w:t>
      </w:r>
      <w:r w:rsidR="00A50C2C" w:rsidRPr="000C5B88">
        <w:rPr>
          <w:color w:val="0D0D0D" w:themeColor="text1" w:themeTint="F2"/>
        </w:rPr>
        <w:t xml:space="preserve"> Safety data may be collected during compassionate use of a therapeutic </w:t>
      </w:r>
      <w:r w:rsidR="0064748F" w:rsidRPr="000C5B88">
        <w:rPr>
          <w:color w:val="0D0D0D" w:themeColor="text1" w:themeTint="F2"/>
        </w:rPr>
        <w:t>intervention</w:t>
      </w:r>
      <w:r w:rsidR="00A50C2C" w:rsidRPr="000C5B88">
        <w:rPr>
          <w:color w:val="0D0D0D" w:themeColor="text1" w:themeTint="F2"/>
        </w:rPr>
        <w:t>,</w:t>
      </w:r>
      <w:r w:rsidR="008D79EE" w:rsidRPr="000C5B88">
        <w:rPr>
          <w:color w:val="0D0D0D" w:themeColor="text1" w:themeTint="F2"/>
        </w:rPr>
        <w:t xml:space="preserve"> </w:t>
      </w:r>
      <w:r w:rsidR="005D4C49">
        <w:rPr>
          <w:color w:val="0D0D0D" w:themeColor="text1" w:themeTint="F2"/>
        </w:rPr>
        <w:t>however,</w:t>
      </w:r>
      <w:r w:rsidR="00A50C2C" w:rsidRPr="000C5B88">
        <w:rPr>
          <w:color w:val="0D0D0D" w:themeColor="text1" w:themeTint="F2"/>
        </w:rPr>
        <w:t xml:space="preserve"> this cannot replace clinical trials for investigational purposes</w:t>
      </w:r>
      <w:r w:rsidR="00D0379D" w:rsidRPr="000C5B88">
        <w:rPr>
          <w:color w:val="0D0D0D" w:themeColor="text1" w:themeTint="F2"/>
        </w:rPr>
        <w:t>, and c</w:t>
      </w:r>
      <w:r w:rsidR="00A50C2C" w:rsidRPr="000C5B88">
        <w:rPr>
          <w:color w:val="0D0D0D" w:themeColor="text1" w:themeTint="F2"/>
        </w:rPr>
        <w:t>ompassionate use is not a substitute for properly conducted</w:t>
      </w:r>
      <w:r w:rsidR="00D0379D" w:rsidRPr="000C5B88">
        <w:rPr>
          <w:color w:val="0D0D0D" w:themeColor="text1" w:themeTint="F2"/>
        </w:rPr>
        <w:t xml:space="preserve"> randomized</w:t>
      </w:r>
      <w:r w:rsidR="00A50C2C" w:rsidRPr="000C5B88">
        <w:rPr>
          <w:color w:val="0D0D0D" w:themeColor="text1" w:themeTint="F2"/>
        </w:rPr>
        <w:t xml:space="preserve"> trials. Compassionate use should </w:t>
      </w:r>
      <w:r w:rsidR="0064748F" w:rsidRPr="000C5B88">
        <w:rPr>
          <w:color w:val="0D0D0D" w:themeColor="text1" w:themeTint="F2"/>
        </w:rPr>
        <w:t>therefore not</w:t>
      </w:r>
      <w:r w:rsidR="00A50C2C" w:rsidRPr="000C5B88">
        <w:rPr>
          <w:color w:val="0D0D0D" w:themeColor="text1" w:themeTint="F2"/>
        </w:rPr>
        <w:t xml:space="preserve"> </w:t>
      </w:r>
      <w:r w:rsidR="00920968" w:rsidRPr="000C5B88">
        <w:rPr>
          <w:color w:val="0D0D0D" w:themeColor="text1" w:themeTint="F2"/>
        </w:rPr>
        <w:t>hinde</w:t>
      </w:r>
      <w:r w:rsidR="00D0379D" w:rsidRPr="000C5B88">
        <w:rPr>
          <w:color w:val="0D0D0D" w:themeColor="text1" w:themeTint="F2"/>
        </w:rPr>
        <w:t>r</w:t>
      </w:r>
      <w:r w:rsidR="00A50C2C" w:rsidRPr="000C5B88">
        <w:rPr>
          <w:color w:val="0D0D0D" w:themeColor="text1" w:themeTint="F2"/>
        </w:rPr>
        <w:t xml:space="preserve"> </w:t>
      </w:r>
      <w:r w:rsidR="00066054" w:rsidRPr="000C5B88">
        <w:rPr>
          <w:color w:val="0D0D0D" w:themeColor="text1" w:themeTint="F2"/>
        </w:rPr>
        <w:t xml:space="preserve">or delay </w:t>
      </w:r>
      <w:r w:rsidR="00A50C2C" w:rsidRPr="000C5B88">
        <w:rPr>
          <w:color w:val="0D0D0D" w:themeColor="text1" w:themeTint="F2"/>
        </w:rPr>
        <w:t xml:space="preserve">the implementation or continuation of clinical trials intended to provide essential information </w:t>
      </w:r>
      <w:r w:rsidR="00D0379D" w:rsidRPr="000C5B88">
        <w:rPr>
          <w:color w:val="0D0D0D" w:themeColor="text1" w:themeTint="F2"/>
        </w:rPr>
        <w:t xml:space="preserve">on </w:t>
      </w:r>
      <w:r w:rsidR="00A50C2C" w:rsidRPr="000C5B88">
        <w:rPr>
          <w:color w:val="0D0D0D" w:themeColor="text1" w:themeTint="F2"/>
        </w:rPr>
        <w:t>the benefit/risk of a</w:t>
      </w:r>
      <w:r w:rsidR="005D4C49">
        <w:rPr>
          <w:color w:val="0D0D0D" w:themeColor="text1" w:themeTint="F2"/>
        </w:rPr>
        <w:t>n IMP.</w:t>
      </w:r>
    </w:p>
    <w:p w14:paraId="688FD932" w14:textId="6C6D2DC2" w:rsidR="008D79EE" w:rsidRDefault="008D79EE" w:rsidP="00E2556C">
      <w:pPr>
        <w:pStyle w:val="BodyText"/>
      </w:pPr>
    </w:p>
    <w:p w14:paraId="33815F9E" w14:textId="0389D500" w:rsidR="008D79EE" w:rsidRPr="00086852" w:rsidRDefault="008D79EE" w:rsidP="00E2556C">
      <w:pPr>
        <w:pStyle w:val="BodyText"/>
      </w:pPr>
      <w:r>
        <w:t>A</w:t>
      </w:r>
      <w:r w:rsidRPr="008D79EE">
        <w:t xml:space="preserve"> common approach regarding the conditions of use, the conditions for distribution and the patients targeted for the compassionate use of unauthorized</w:t>
      </w:r>
      <w:r>
        <w:t xml:space="preserve"> new medicines </w:t>
      </w:r>
      <w:r w:rsidR="00D0379D">
        <w:t>will be</w:t>
      </w:r>
      <w:r>
        <w:t xml:space="preserve"> beneficial for countries within the same continent</w:t>
      </w:r>
      <w:r w:rsidR="00D0379D">
        <w:t>, as there are</w:t>
      </w:r>
      <w:r>
        <w:t xml:space="preserve"> similarities </w:t>
      </w:r>
      <w:r w:rsidR="003E3FA3">
        <w:t>in epidemiology and public health concerns</w:t>
      </w:r>
      <w:r w:rsidR="00D0379D">
        <w:t>,</w:t>
      </w:r>
      <w:r w:rsidR="003E3FA3">
        <w:t xml:space="preserve"> especially in a pandemic situation.</w:t>
      </w:r>
      <w:r w:rsidR="00C74E40">
        <w:t xml:space="preserve"> </w:t>
      </w:r>
      <w:r w:rsidR="00C74E40" w:rsidRPr="00086852">
        <w:t>Within the continent</w:t>
      </w:r>
      <w:r w:rsidR="002C6668" w:rsidRPr="00086852">
        <w:t>,</w:t>
      </w:r>
      <w:r w:rsidR="00C74E40" w:rsidRPr="00086852">
        <w:t xml:space="preserve"> e</w:t>
      </w:r>
      <w:r w:rsidR="002C6668" w:rsidRPr="00086852">
        <w:t>pidemics threaten all countries.</w:t>
      </w:r>
    </w:p>
    <w:p w14:paraId="564D793E" w14:textId="332A05E9" w:rsidR="00B52163" w:rsidRPr="00C74E40" w:rsidRDefault="00B52163" w:rsidP="0093507C">
      <w:pPr>
        <w:pStyle w:val="BodyText"/>
        <w:ind w:left="0"/>
        <w:rPr>
          <w:color w:val="C00000"/>
        </w:rPr>
      </w:pPr>
    </w:p>
    <w:p w14:paraId="22E6A3A7" w14:textId="77777777" w:rsidR="00644AB7" w:rsidRDefault="00644AB7" w:rsidP="006830D6">
      <w:pPr>
        <w:pStyle w:val="BodyText"/>
        <w:ind w:left="0"/>
      </w:pPr>
    </w:p>
    <w:p w14:paraId="5923D6B8" w14:textId="1C228F27" w:rsidR="00907670" w:rsidRDefault="00FA292A" w:rsidP="002823FA">
      <w:pPr>
        <w:pStyle w:val="Heading1"/>
      </w:pPr>
      <w:bookmarkStart w:id="4" w:name="_Toc46149901"/>
      <w:r w:rsidRPr="006C33C6">
        <w:t xml:space="preserve">4.0 </w:t>
      </w:r>
      <w:r w:rsidR="009122D7">
        <w:t>Scope</w:t>
      </w:r>
      <w:bookmarkEnd w:id="4"/>
    </w:p>
    <w:p w14:paraId="34635EE7" w14:textId="205F3250" w:rsidR="00B52163" w:rsidRPr="0064748F" w:rsidRDefault="00B52163" w:rsidP="002823FA">
      <w:pPr>
        <w:pStyle w:val="Heading1"/>
        <w:rPr>
          <w:rFonts w:cs="Times New Roman"/>
        </w:rPr>
      </w:pPr>
    </w:p>
    <w:p w14:paraId="6E88EBC4" w14:textId="3DD30ADB" w:rsidR="00633E71" w:rsidRPr="000C5B88" w:rsidRDefault="00633E71" w:rsidP="00E2556C">
      <w:pPr>
        <w:pStyle w:val="BodyText"/>
        <w:rPr>
          <w:color w:val="0D0D0D" w:themeColor="text1" w:themeTint="F2"/>
        </w:rPr>
      </w:pPr>
      <w:r w:rsidRPr="000C5B88">
        <w:rPr>
          <w:color w:val="0D0D0D" w:themeColor="text1" w:themeTint="F2"/>
        </w:rPr>
        <w:t>The provisions of this guidel</w:t>
      </w:r>
      <w:r w:rsidR="00EF188F" w:rsidRPr="000C5B88">
        <w:rPr>
          <w:color w:val="0D0D0D" w:themeColor="text1" w:themeTint="F2"/>
        </w:rPr>
        <w:t>ine should only be applied</w:t>
      </w:r>
      <w:r w:rsidRPr="000C5B88">
        <w:rPr>
          <w:color w:val="0D0D0D" w:themeColor="text1" w:themeTint="F2"/>
        </w:rPr>
        <w:t xml:space="preserve"> if the </w:t>
      </w:r>
      <w:r w:rsidR="00470EA8" w:rsidRPr="000C5B88">
        <w:rPr>
          <w:color w:val="0D0D0D" w:themeColor="text1" w:themeTint="F2"/>
        </w:rPr>
        <w:t xml:space="preserve">investigational </w:t>
      </w:r>
      <w:r w:rsidRPr="000C5B88">
        <w:rPr>
          <w:color w:val="0D0D0D" w:themeColor="text1" w:themeTint="F2"/>
        </w:rPr>
        <w:t xml:space="preserve">medicine or </w:t>
      </w:r>
      <w:r w:rsidR="00C9204C" w:rsidRPr="000C5B88">
        <w:rPr>
          <w:color w:val="0D0D0D" w:themeColor="text1" w:themeTint="F2"/>
        </w:rPr>
        <w:t xml:space="preserve">investigational </w:t>
      </w:r>
      <w:r w:rsidRPr="000C5B88">
        <w:rPr>
          <w:color w:val="0D0D0D" w:themeColor="text1" w:themeTint="F2"/>
        </w:rPr>
        <w:t>therapeutic intervention is expected to help</w:t>
      </w:r>
      <w:r w:rsidR="0061527E" w:rsidRPr="000C5B88">
        <w:rPr>
          <w:color w:val="0D0D0D" w:themeColor="text1" w:themeTint="F2"/>
        </w:rPr>
        <w:t xml:space="preserve"> </w:t>
      </w:r>
      <w:r w:rsidR="00A50C2C" w:rsidRPr="000C5B88">
        <w:rPr>
          <w:color w:val="0D0D0D" w:themeColor="text1" w:themeTint="F2"/>
        </w:rPr>
        <w:t xml:space="preserve">an individual patient or </w:t>
      </w:r>
      <w:r w:rsidR="00D0379D" w:rsidRPr="000C5B88">
        <w:rPr>
          <w:color w:val="0D0D0D" w:themeColor="text1" w:themeTint="F2"/>
        </w:rPr>
        <w:t xml:space="preserve">a </w:t>
      </w:r>
      <w:r w:rsidR="0061527E" w:rsidRPr="000C5B88">
        <w:rPr>
          <w:color w:val="0D0D0D" w:themeColor="text1" w:themeTint="F2"/>
        </w:rPr>
        <w:t>group of</w:t>
      </w:r>
      <w:r w:rsidRPr="000C5B88">
        <w:rPr>
          <w:color w:val="0D0D0D" w:themeColor="text1" w:themeTint="F2"/>
        </w:rPr>
        <w:t xml:space="preserve"> patients with life-threatening, long-lasting or seriously debilitating illnesses, which cannot be treated satisfactorily with any currently authorized</w:t>
      </w:r>
      <w:r w:rsidR="0064748F" w:rsidRPr="000C5B88">
        <w:rPr>
          <w:color w:val="0D0D0D" w:themeColor="text1" w:themeTint="F2"/>
        </w:rPr>
        <w:t>, available</w:t>
      </w:r>
      <w:r w:rsidRPr="000C5B88">
        <w:rPr>
          <w:color w:val="0D0D0D" w:themeColor="text1" w:themeTint="F2"/>
        </w:rPr>
        <w:t xml:space="preserve"> medicine.</w:t>
      </w:r>
    </w:p>
    <w:p w14:paraId="741DB485" w14:textId="354473FF" w:rsidR="008F217B" w:rsidRPr="000C5B88" w:rsidRDefault="00A50C2C" w:rsidP="00E2556C">
      <w:pPr>
        <w:pStyle w:val="BodyText"/>
        <w:rPr>
          <w:color w:val="0D0D0D" w:themeColor="text1" w:themeTint="F2"/>
        </w:rPr>
      </w:pPr>
      <w:r w:rsidRPr="000C5B88">
        <w:rPr>
          <w:color w:val="0D0D0D" w:themeColor="text1" w:themeTint="F2"/>
        </w:rPr>
        <w:t>The investigational medicinal product (IMP)</w:t>
      </w:r>
      <w:r w:rsidR="00633E71" w:rsidRPr="000C5B88">
        <w:rPr>
          <w:color w:val="0D0D0D" w:themeColor="text1" w:themeTint="F2"/>
        </w:rPr>
        <w:t xml:space="preserve"> must be undergoing clinical trials</w:t>
      </w:r>
      <w:r w:rsidR="00D0379D" w:rsidRPr="000C5B88">
        <w:rPr>
          <w:color w:val="0D0D0D" w:themeColor="text1" w:themeTint="F2"/>
        </w:rPr>
        <w:t>,</w:t>
      </w:r>
      <w:r w:rsidR="00633E71" w:rsidRPr="000C5B88">
        <w:rPr>
          <w:color w:val="0D0D0D" w:themeColor="text1" w:themeTint="F2"/>
        </w:rPr>
        <w:t xml:space="preserve"> or</w:t>
      </w:r>
      <w:r w:rsidRPr="000C5B88">
        <w:rPr>
          <w:color w:val="0D0D0D" w:themeColor="text1" w:themeTint="F2"/>
        </w:rPr>
        <w:t xml:space="preserve"> the un</w:t>
      </w:r>
      <w:r w:rsidR="005D4C49">
        <w:rPr>
          <w:color w:val="0D0D0D" w:themeColor="text1" w:themeTint="F2"/>
        </w:rPr>
        <w:t>-</w:t>
      </w:r>
      <w:r w:rsidRPr="000C5B88">
        <w:rPr>
          <w:color w:val="0D0D0D" w:themeColor="text1" w:themeTint="F2"/>
        </w:rPr>
        <w:t xml:space="preserve">registered </w:t>
      </w:r>
      <w:r w:rsidR="001D48BF" w:rsidRPr="000C5B88">
        <w:rPr>
          <w:color w:val="0D0D0D" w:themeColor="text1" w:themeTint="F2"/>
        </w:rPr>
        <w:t xml:space="preserve">novel </w:t>
      </w:r>
      <w:r w:rsidRPr="000C5B88">
        <w:rPr>
          <w:color w:val="0D0D0D" w:themeColor="text1" w:themeTint="F2"/>
        </w:rPr>
        <w:t>product must</w:t>
      </w:r>
      <w:r w:rsidR="00633E71" w:rsidRPr="000C5B88">
        <w:rPr>
          <w:color w:val="0D0D0D" w:themeColor="text1" w:themeTint="F2"/>
        </w:rPr>
        <w:t xml:space="preserve"> have entered the marketing-authorization application process. Pre-clinical studies should </w:t>
      </w:r>
      <w:r w:rsidR="00AD1716" w:rsidRPr="000C5B88">
        <w:rPr>
          <w:color w:val="0D0D0D" w:themeColor="text1" w:themeTint="F2"/>
        </w:rPr>
        <w:t xml:space="preserve">have </w:t>
      </w:r>
      <w:r w:rsidR="00633E71" w:rsidRPr="000C5B88">
        <w:rPr>
          <w:color w:val="0D0D0D" w:themeColor="text1" w:themeTint="F2"/>
        </w:rPr>
        <w:t>b</w:t>
      </w:r>
      <w:r w:rsidR="002C6668" w:rsidRPr="000C5B88">
        <w:rPr>
          <w:color w:val="0D0D0D" w:themeColor="text1" w:themeTint="F2"/>
        </w:rPr>
        <w:t>een</w:t>
      </w:r>
      <w:r w:rsidR="00633E71" w:rsidRPr="000C5B88">
        <w:rPr>
          <w:color w:val="0D0D0D" w:themeColor="text1" w:themeTint="F2"/>
        </w:rPr>
        <w:t xml:space="preserve"> </w:t>
      </w:r>
      <w:r w:rsidR="002C6668" w:rsidRPr="000C5B88">
        <w:rPr>
          <w:color w:val="0D0D0D" w:themeColor="text1" w:themeTint="F2"/>
        </w:rPr>
        <w:t>completed;</w:t>
      </w:r>
      <w:r w:rsidR="00633E71" w:rsidRPr="000C5B88">
        <w:rPr>
          <w:color w:val="0D0D0D" w:themeColor="text1" w:themeTint="F2"/>
        </w:rPr>
        <w:t xml:space="preserve"> however the product’s </w:t>
      </w:r>
      <w:r w:rsidR="00100BE8" w:rsidRPr="000C5B88">
        <w:rPr>
          <w:color w:val="0D0D0D" w:themeColor="text1" w:themeTint="F2"/>
        </w:rPr>
        <w:t xml:space="preserve">full </w:t>
      </w:r>
      <w:r w:rsidR="00633E71" w:rsidRPr="000C5B88">
        <w:rPr>
          <w:color w:val="0D0D0D" w:themeColor="text1" w:themeTint="F2"/>
        </w:rPr>
        <w:t xml:space="preserve">safety </w:t>
      </w:r>
      <w:r w:rsidR="00100BE8" w:rsidRPr="000C5B88">
        <w:rPr>
          <w:color w:val="0D0D0D" w:themeColor="text1" w:themeTint="F2"/>
        </w:rPr>
        <w:t xml:space="preserve">and efficacy </w:t>
      </w:r>
      <w:r w:rsidR="00633E71" w:rsidRPr="000C5B88">
        <w:rPr>
          <w:color w:val="0D0D0D" w:themeColor="text1" w:themeTint="F2"/>
        </w:rPr>
        <w:t xml:space="preserve">profile </w:t>
      </w:r>
      <w:r w:rsidR="00AD1716" w:rsidRPr="000C5B88">
        <w:rPr>
          <w:color w:val="0D0D0D" w:themeColor="text1" w:themeTint="F2"/>
        </w:rPr>
        <w:t xml:space="preserve">in humans </w:t>
      </w:r>
      <w:r w:rsidR="00633E71" w:rsidRPr="000C5B88">
        <w:rPr>
          <w:color w:val="0D0D0D" w:themeColor="text1" w:themeTint="F2"/>
        </w:rPr>
        <w:t>and dosage guidelin</w:t>
      </w:r>
      <w:r w:rsidR="0061527E" w:rsidRPr="000C5B88">
        <w:rPr>
          <w:color w:val="0D0D0D" w:themeColor="text1" w:themeTint="F2"/>
        </w:rPr>
        <w:t>es may not be fully established.</w:t>
      </w:r>
    </w:p>
    <w:p w14:paraId="5E01CCA7" w14:textId="77777777" w:rsidR="00E2556C" w:rsidRPr="000C5B88" w:rsidRDefault="00E2556C" w:rsidP="00E2556C">
      <w:pPr>
        <w:pStyle w:val="BodyText"/>
        <w:rPr>
          <w:color w:val="0D0D0D" w:themeColor="text1" w:themeTint="F2"/>
        </w:rPr>
      </w:pPr>
    </w:p>
    <w:p w14:paraId="0AF90688" w14:textId="19A306CE" w:rsidR="008F217B" w:rsidRPr="000C5B88" w:rsidRDefault="00D0379D" w:rsidP="001D48BF">
      <w:pPr>
        <w:pStyle w:val="BodyText"/>
        <w:rPr>
          <w:color w:val="0D0D0D" w:themeColor="text1" w:themeTint="F2"/>
        </w:rPr>
      </w:pPr>
      <w:r w:rsidRPr="000C5B88">
        <w:rPr>
          <w:color w:val="0D0D0D" w:themeColor="text1" w:themeTint="F2"/>
        </w:rPr>
        <w:t xml:space="preserve">Compassionate use provisions are not appropriate for a medicinal product which has already been authorized elsewhere, even if the proposed conditions of use and target population are different from those of the existing market authorization.  </w:t>
      </w:r>
      <w:r w:rsidR="00920968" w:rsidRPr="000C5B88">
        <w:rPr>
          <w:color w:val="0D0D0D" w:themeColor="text1" w:themeTint="F2"/>
        </w:rPr>
        <w:t>Thus compassionate use of an investigational or unregistered</w:t>
      </w:r>
      <w:r w:rsidR="005D4C49">
        <w:rPr>
          <w:color w:val="0D0D0D" w:themeColor="text1" w:themeTint="F2"/>
        </w:rPr>
        <w:t xml:space="preserve"> novel</w:t>
      </w:r>
      <w:r w:rsidR="00920968" w:rsidRPr="000C5B88">
        <w:rPr>
          <w:color w:val="0D0D0D" w:themeColor="text1" w:themeTint="F2"/>
        </w:rPr>
        <w:t xml:space="preserve"> product is to be clearly distinguished from “off-label use” of an existing approved and marketed product.  </w:t>
      </w:r>
      <w:r w:rsidR="00C9204C" w:rsidRPr="000C5B88">
        <w:rPr>
          <w:color w:val="0D0D0D" w:themeColor="text1" w:themeTint="F2"/>
        </w:rPr>
        <w:t>A critical difference is that in compassionate use,</w:t>
      </w:r>
      <w:r w:rsidR="00EC6471">
        <w:rPr>
          <w:color w:val="0D0D0D" w:themeColor="text1" w:themeTint="F2"/>
        </w:rPr>
        <w:t xml:space="preserve"> </w:t>
      </w:r>
      <w:r w:rsidR="00C9204C" w:rsidRPr="000C5B88">
        <w:rPr>
          <w:color w:val="0D0D0D" w:themeColor="text1" w:themeTint="F2"/>
        </w:rPr>
        <w:t>an investigational medicinal product is used in advance of marketing authorization, while for off-label use the product has an existing marketing authorization for different indication(s).</w:t>
      </w:r>
    </w:p>
    <w:p w14:paraId="0B9F7CA8" w14:textId="04A3CA6C" w:rsidR="00EA4DAF" w:rsidRPr="000C5B88" w:rsidRDefault="00EA4DAF" w:rsidP="00E2556C">
      <w:pPr>
        <w:pStyle w:val="BodyText"/>
        <w:rPr>
          <w:color w:val="0D0D0D" w:themeColor="text1" w:themeTint="F2"/>
        </w:rPr>
      </w:pPr>
    </w:p>
    <w:p w14:paraId="64466D60" w14:textId="248C8E90" w:rsidR="00EA4DAF" w:rsidRDefault="00A50C2C" w:rsidP="00E2556C">
      <w:pPr>
        <w:pStyle w:val="BodyText"/>
      </w:pPr>
      <w:r w:rsidRPr="000F6A68">
        <w:t>In this guidan</w:t>
      </w:r>
      <w:r w:rsidR="001D48BF">
        <w:t xml:space="preserve">ce, </w:t>
      </w:r>
      <w:r w:rsidR="00920968">
        <w:t>“</w:t>
      </w:r>
      <w:r w:rsidR="001D48BF">
        <w:t>compassionate use</w:t>
      </w:r>
      <w:r w:rsidR="00920968">
        <w:t>”</w:t>
      </w:r>
      <w:r w:rsidR="001D48BF">
        <w:t xml:space="preserve"> applies to both</w:t>
      </w:r>
      <w:r w:rsidR="000F6A68" w:rsidRPr="000F6A68">
        <w:t xml:space="preserve"> individual</w:t>
      </w:r>
      <w:r w:rsidR="00A854FE" w:rsidRPr="000F6A68">
        <w:t xml:space="preserve"> named-patient </w:t>
      </w:r>
      <w:r w:rsidRPr="000F6A68">
        <w:t>treatment</w:t>
      </w:r>
      <w:r w:rsidR="008D79EE" w:rsidRPr="000F6A68">
        <w:t xml:space="preserve">, </w:t>
      </w:r>
      <w:r w:rsidR="00A854FE" w:rsidRPr="000F6A68">
        <w:t xml:space="preserve">and treatment of a group of patients. </w:t>
      </w:r>
    </w:p>
    <w:p w14:paraId="3F4602A7" w14:textId="77777777" w:rsidR="00470EA8" w:rsidRPr="000F6A68" w:rsidRDefault="00470EA8" w:rsidP="00E2556C">
      <w:pPr>
        <w:pStyle w:val="BodyText"/>
      </w:pPr>
    </w:p>
    <w:p w14:paraId="50E9986E" w14:textId="225BE0EC" w:rsidR="002C6668" w:rsidRPr="000F6A68" w:rsidRDefault="000F6A68">
      <w:pPr>
        <w:pStyle w:val="BodyText"/>
      </w:pPr>
      <w:r w:rsidRPr="000F6A68">
        <w:lastRenderedPageBreak/>
        <w:t>In all instances:</w:t>
      </w:r>
    </w:p>
    <w:p w14:paraId="6A6DF6C2" w14:textId="6A0D6A3F" w:rsidR="00332042" w:rsidRPr="00D161E6" w:rsidRDefault="00332042" w:rsidP="00036416">
      <w:pPr>
        <w:pStyle w:val="BodyText"/>
        <w:numPr>
          <w:ilvl w:val="0"/>
          <w:numId w:val="4"/>
        </w:numPr>
      </w:pPr>
      <w:r w:rsidRPr="00D161E6">
        <w:t>The individual patient or group of patients is/are unable to, not eligible</w:t>
      </w:r>
      <w:r w:rsidR="00100BE8" w:rsidRPr="00D161E6">
        <w:t xml:space="preserve"> to</w:t>
      </w:r>
      <w:r w:rsidRPr="00D161E6">
        <w:t>, or unwilling to participate in a clinical trial of the IMP. Participation in a trial should be the first option for the patient/patients</w:t>
      </w:r>
      <w:r w:rsidR="00920968" w:rsidRPr="00D161E6">
        <w:t>, and attempts to bypass trials are to be discouraged.</w:t>
      </w:r>
      <w:r w:rsidR="00920968" w:rsidRPr="00D161E6">
        <w:rPr>
          <w:b/>
        </w:rPr>
        <w:t xml:space="preserve">  Patient safety is likely to be better assured in trials than in compassionate use situations.</w:t>
      </w:r>
    </w:p>
    <w:p w14:paraId="4ACD7B09" w14:textId="255FE201" w:rsidR="000F6A68" w:rsidRPr="000F6A68" w:rsidRDefault="000F6A68" w:rsidP="00036416">
      <w:pPr>
        <w:pStyle w:val="BodyText"/>
        <w:numPr>
          <w:ilvl w:val="0"/>
          <w:numId w:val="4"/>
        </w:numPr>
      </w:pPr>
      <w:r w:rsidRPr="000F6A68">
        <w:t>T</w:t>
      </w:r>
      <w:r w:rsidR="003E3FA3" w:rsidRPr="000F6A68">
        <w:t xml:space="preserve">he potential benefit must justify the potential </w:t>
      </w:r>
      <w:r w:rsidR="0064748F" w:rsidRPr="000F6A68">
        <w:t>risk to t</w:t>
      </w:r>
      <w:r w:rsidRPr="000F6A68">
        <w:t xml:space="preserve">he patient or patients. </w:t>
      </w:r>
    </w:p>
    <w:p w14:paraId="12C01A01" w14:textId="14D5E9AC" w:rsidR="003E3FA3" w:rsidRPr="000F6A68" w:rsidRDefault="003E3FA3" w:rsidP="00036416">
      <w:pPr>
        <w:pStyle w:val="BodyText"/>
        <w:numPr>
          <w:ilvl w:val="0"/>
          <w:numId w:val="4"/>
        </w:numPr>
      </w:pPr>
      <w:r w:rsidRPr="000F6A68">
        <w:t xml:space="preserve">The sponsor </w:t>
      </w:r>
      <w:r w:rsidR="001D48BF">
        <w:t xml:space="preserve">/manufacturer </w:t>
      </w:r>
      <w:r w:rsidRPr="000F6A68">
        <w:t>must agree to provide the compassionate use access of the IMP or therapeutic product to t</w:t>
      </w:r>
      <w:r w:rsidR="0064748F" w:rsidRPr="000F6A68">
        <w:t>he patient.</w:t>
      </w:r>
    </w:p>
    <w:p w14:paraId="280FEF09" w14:textId="22CEF8C1" w:rsidR="003E3FA3" w:rsidRDefault="003E3FA3" w:rsidP="00036416">
      <w:pPr>
        <w:pStyle w:val="BodyText"/>
        <w:numPr>
          <w:ilvl w:val="0"/>
          <w:numId w:val="4"/>
        </w:numPr>
      </w:pPr>
      <w:r w:rsidRPr="000C5B88">
        <w:rPr>
          <w:color w:val="0D0D0D" w:themeColor="text1" w:themeTint="F2"/>
        </w:rPr>
        <w:t xml:space="preserve">Although the medicine requested under the compassionate use provision may be </w:t>
      </w:r>
      <w:r w:rsidR="004860D2" w:rsidRPr="000C5B88">
        <w:rPr>
          <w:color w:val="0D0D0D" w:themeColor="text1" w:themeTint="F2"/>
        </w:rPr>
        <w:t>investigational</w:t>
      </w:r>
      <w:r w:rsidRPr="000C5B88">
        <w:rPr>
          <w:color w:val="0D0D0D" w:themeColor="text1" w:themeTint="F2"/>
        </w:rPr>
        <w:t>, its use should be</w:t>
      </w:r>
      <w:r w:rsidR="004860D2" w:rsidRPr="000C5B88">
        <w:rPr>
          <w:color w:val="0D0D0D" w:themeColor="text1" w:themeTint="F2"/>
        </w:rPr>
        <w:t xml:space="preserve"> for the primary purpose of diagnosing, monitoring, or treating a patient’s </w:t>
      </w:r>
      <w:r w:rsidRPr="000C5B88">
        <w:rPr>
          <w:color w:val="0D0D0D" w:themeColor="text1" w:themeTint="F2"/>
        </w:rPr>
        <w:t xml:space="preserve">or patients’ </w:t>
      </w:r>
      <w:r w:rsidR="004860D2" w:rsidRPr="000C5B88">
        <w:rPr>
          <w:color w:val="0D0D0D" w:themeColor="text1" w:themeTint="F2"/>
        </w:rPr>
        <w:t>disease or condition</w:t>
      </w:r>
      <w:r w:rsidR="005D0136" w:rsidRPr="000C5B88">
        <w:rPr>
          <w:color w:val="0D0D0D" w:themeColor="text1" w:themeTint="F2"/>
        </w:rPr>
        <w:t xml:space="preserve">. </w:t>
      </w:r>
      <w:r w:rsidR="005D0136">
        <w:t>(Clinical trials are the appropriate route for</w:t>
      </w:r>
      <w:r w:rsidR="004860D2" w:rsidRPr="000F6A68">
        <w:t xml:space="preserve"> </w:t>
      </w:r>
      <w:r w:rsidR="005D0136">
        <w:t>generation of</w:t>
      </w:r>
      <w:r w:rsidR="004860D2" w:rsidRPr="000F6A68">
        <w:t xml:space="preserve"> scientific data </w:t>
      </w:r>
      <w:r w:rsidR="005D0136">
        <w:t xml:space="preserve">on </w:t>
      </w:r>
      <w:r w:rsidR="004860D2" w:rsidRPr="000F6A68">
        <w:t>the saf</w:t>
      </w:r>
      <w:r w:rsidRPr="000F6A68">
        <w:t>ety and</w:t>
      </w:r>
      <w:r w:rsidR="005D0136">
        <w:t xml:space="preserve"> efficacy </w:t>
      </w:r>
      <w:r w:rsidRPr="000F6A68">
        <w:t>of the IMP.</w:t>
      </w:r>
      <w:r w:rsidR="005D0136">
        <w:t>)</w:t>
      </w:r>
    </w:p>
    <w:p w14:paraId="1B323F05" w14:textId="29D543A3" w:rsidR="003E3FA3" w:rsidRPr="000C5B88" w:rsidRDefault="00331C43" w:rsidP="00036416">
      <w:pPr>
        <w:pStyle w:val="BodyText"/>
        <w:numPr>
          <w:ilvl w:val="0"/>
          <w:numId w:val="4"/>
        </w:numPr>
        <w:rPr>
          <w:color w:val="0D0D0D" w:themeColor="text1" w:themeTint="F2"/>
        </w:rPr>
      </w:pPr>
      <w:r w:rsidRPr="000C5B88">
        <w:rPr>
          <w:color w:val="0D0D0D" w:themeColor="text1" w:themeTint="F2"/>
        </w:rPr>
        <w:t>In all cases the applicant (</w:t>
      </w:r>
      <w:r w:rsidR="005D0136" w:rsidRPr="000C5B88">
        <w:rPr>
          <w:color w:val="0D0D0D" w:themeColor="text1" w:themeTint="F2"/>
        </w:rPr>
        <w:t xml:space="preserve">usually the </w:t>
      </w:r>
      <w:bookmarkStart w:id="5" w:name="_Hlk45666975"/>
      <w:r w:rsidRPr="000C5B88">
        <w:rPr>
          <w:color w:val="0D0D0D" w:themeColor="text1" w:themeTint="F2"/>
        </w:rPr>
        <w:t>prescribing physician</w:t>
      </w:r>
      <w:r w:rsidR="005D0136" w:rsidRPr="000C5B88">
        <w:rPr>
          <w:color w:val="0D0D0D" w:themeColor="text1" w:themeTint="F2"/>
        </w:rPr>
        <w:t xml:space="preserve"> or an appropriate public health professional</w:t>
      </w:r>
      <w:bookmarkEnd w:id="5"/>
      <w:r w:rsidR="005D0136" w:rsidRPr="000C5B88">
        <w:rPr>
          <w:color w:val="0D0D0D" w:themeColor="text1" w:themeTint="F2"/>
        </w:rPr>
        <w:t>) will assume ultimate responsibility for the use and outcomes of the IMP/un</w:t>
      </w:r>
      <w:r w:rsidR="005D4C49">
        <w:rPr>
          <w:color w:val="0D0D0D" w:themeColor="text1" w:themeTint="F2"/>
        </w:rPr>
        <w:t>-</w:t>
      </w:r>
      <w:r w:rsidR="005D0136" w:rsidRPr="000C5B88">
        <w:rPr>
          <w:color w:val="0D0D0D" w:themeColor="text1" w:themeTint="F2"/>
        </w:rPr>
        <w:t>registered</w:t>
      </w:r>
      <w:r w:rsidR="00494501">
        <w:rPr>
          <w:color w:val="0D0D0D" w:themeColor="text1" w:themeTint="F2"/>
        </w:rPr>
        <w:t xml:space="preserve"> novel</w:t>
      </w:r>
      <w:r w:rsidR="005D0136" w:rsidRPr="000C5B88">
        <w:rPr>
          <w:color w:val="0D0D0D" w:themeColor="text1" w:themeTint="F2"/>
        </w:rPr>
        <w:t xml:space="preserve"> medicinal product. </w:t>
      </w:r>
    </w:p>
    <w:p w14:paraId="05C6FA51" w14:textId="77777777" w:rsidR="00C2582F" w:rsidRPr="00D161E6" w:rsidRDefault="00C2582F" w:rsidP="00036416">
      <w:pPr>
        <w:pStyle w:val="BodyText"/>
        <w:ind w:left="820"/>
      </w:pPr>
    </w:p>
    <w:p w14:paraId="17EBE137" w14:textId="486AE017" w:rsidR="003E3FA3" w:rsidRPr="000F6A68" w:rsidRDefault="003E3FA3" w:rsidP="00E2556C">
      <w:pPr>
        <w:pStyle w:val="BodyText"/>
      </w:pPr>
      <w:r w:rsidRPr="000F6A68">
        <w:t>Generally,</w:t>
      </w:r>
      <w:r w:rsidR="00527A3B" w:rsidRPr="000F6A68">
        <w:t xml:space="preserve"> </w:t>
      </w:r>
      <w:r w:rsidRPr="000F6A68">
        <w:t>compassionate use applications (CUA)</w:t>
      </w:r>
      <w:r w:rsidR="00527A3B" w:rsidRPr="000F6A68">
        <w:t xml:space="preserve"> will fall into one of two categories</w:t>
      </w:r>
      <w:r w:rsidRPr="000F6A68">
        <w:t>:</w:t>
      </w:r>
    </w:p>
    <w:p w14:paraId="18F2F1AB" w14:textId="5155CB13" w:rsidR="00907670" w:rsidRPr="000F6A68" w:rsidRDefault="003E3FA3" w:rsidP="00036416">
      <w:pPr>
        <w:pStyle w:val="BodyText"/>
        <w:numPr>
          <w:ilvl w:val="0"/>
          <w:numId w:val="3"/>
        </w:numPr>
      </w:pPr>
      <w:r w:rsidRPr="000F6A68">
        <w:t>Individual (or named) patient CUA</w:t>
      </w:r>
      <w:r w:rsidR="004860D2" w:rsidRPr="000F6A68">
        <w:t>, including for emergenc</w:t>
      </w:r>
      <w:r w:rsidR="00527A3B" w:rsidRPr="000F6A68">
        <w:t>y use</w:t>
      </w:r>
    </w:p>
    <w:p w14:paraId="398C3A33" w14:textId="7D670516" w:rsidR="00527A3B" w:rsidRDefault="00A854FE" w:rsidP="00036416">
      <w:pPr>
        <w:pStyle w:val="BodyText"/>
        <w:numPr>
          <w:ilvl w:val="0"/>
          <w:numId w:val="3"/>
        </w:numPr>
      </w:pPr>
      <w:r w:rsidRPr="000F6A68">
        <w:t xml:space="preserve">Group of patients </w:t>
      </w:r>
      <w:r w:rsidR="00527A3B" w:rsidRPr="000F6A68">
        <w:t>CUA, including for emergency use</w:t>
      </w:r>
    </w:p>
    <w:p w14:paraId="743B2103" w14:textId="77777777" w:rsidR="00D0693B" w:rsidRDefault="00D0693B" w:rsidP="00D0693B">
      <w:pPr>
        <w:pStyle w:val="BodyText"/>
        <w:ind w:left="820"/>
      </w:pPr>
    </w:p>
    <w:p w14:paraId="08CAE77E" w14:textId="6D7D4A93" w:rsidR="00D0693B" w:rsidRPr="000F6A68" w:rsidRDefault="00EF188F" w:rsidP="00D0693B">
      <w:pPr>
        <w:pStyle w:val="BodyText"/>
      </w:pPr>
      <w:r>
        <w:t>E</w:t>
      </w:r>
      <w:r w:rsidR="00D0693B">
        <w:t>xample</w:t>
      </w:r>
      <w:r>
        <w:t xml:space="preserve">s of </w:t>
      </w:r>
      <w:r w:rsidR="00D0693B">
        <w:t>situation</w:t>
      </w:r>
      <w:r>
        <w:t>s</w:t>
      </w:r>
      <w:r w:rsidR="00D0693B">
        <w:t xml:space="preserve"> that</w:t>
      </w:r>
      <w:r>
        <w:t xml:space="preserve"> </w:t>
      </w:r>
      <w:r w:rsidR="005D0136">
        <w:t>might</w:t>
      </w:r>
      <w:r>
        <w:t xml:space="preserve"> necessitate submission of a</w:t>
      </w:r>
      <w:r w:rsidR="00D0693B">
        <w:t xml:space="preserve"> CUA </w:t>
      </w:r>
      <w:r>
        <w:t xml:space="preserve">for a group of patients are </w:t>
      </w:r>
      <w:r w:rsidR="00D0693B">
        <w:t>epidemic</w:t>
      </w:r>
      <w:r>
        <w:t>s,</w:t>
      </w:r>
      <w:r w:rsidR="005D0136">
        <w:t xml:space="preserve"> local or regional</w:t>
      </w:r>
      <w:r>
        <w:t xml:space="preserve"> public health emergencies</w:t>
      </w:r>
      <w:r w:rsidR="00D0693B">
        <w:t xml:space="preserve">, </w:t>
      </w:r>
      <w:r w:rsidR="00A274D6" w:rsidRPr="00086852">
        <w:t>and</w:t>
      </w:r>
      <w:r w:rsidRPr="00086852">
        <w:t xml:space="preserve"> a </w:t>
      </w:r>
      <w:r w:rsidR="00D0693B">
        <w:t>public health emergency of international concern</w:t>
      </w:r>
      <w:r w:rsidR="005D0136">
        <w:t xml:space="preserve"> (PHEIC)</w:t>
      </w:r>
      <w:r w:rsidR="00D0693B">
        <w:t>. The AVAREF Strategy and Guidance for Emergency Preparedness</w:t>
      </w:r>
      <w:r w:rsidR="00D0693B">
        <w:rPr>
          <w:rStyle w:val="FootnoteReference"/>
        </w:rPr>
        <w:footnoteReference w:id="2"/>
      </w:r>
      <w:r w:rsidR="00D0693B">
        <w:t xml:space="preserve"> contains recommendations for</w:t>
      </w:r>
      <w:r w:rsidR="00494501">
        <w:t xml:space="preserve"> national regulatory authority (</w:t>
      </w:r>
      <w:r w:rsidR="00D0693B">
        <w:t>NRA</w:t>
      </w:r>
      <w:r w:rsidR="00494501">
        <w:t>)</w:t>
      </w:r>
      <w:r w:rsidR="00D0693B">
        <w:t xml:space="preserve"> and </w:t>
      </w:r>
      <w:r w:rsidR="00494501">
        <w:t>ethics committee (</w:t>
      </w:r>
      <w:r w:rsidR="00D0693B">
        <w:t>EC</w:t>
      </w:r>
      <w:r w:rsidR="00494501">
        <w:t>)</w:t>
      </w:r>
      <w:r w:rsidR="00D0693B">
        <w:t xml:space="preserve"> preparedness that apply, where relevant, to CUAs and emergency CUAs</w:t>
      </w:r>
      <w:r>
        <w:t xml:space="preserve"> for groups of patients</w:t>
      </w:r>
      <w:r w:rsidR="00D0693B">
        <w:t>.</w:t>
      </w:r>
    </w:p>
    <w:p w14:paraId="659DACC0" w14:textId="324E9F49" w:rsidR="00D0693B" w:rsidRDefault="00D0693B" w:rsidP="001F2A3A">
      <w:pPr>
        <w:pStyle w:val="BodyText"/>
        <w:ind w:left="0"/>
      </w:pPr>
    </w:p>
    <w:p w14:paraId="3969111E" w14:textId="017BB4DA" w:rsidR="00BE7BCB" w:rsidRDefault="00BE7BCB" w:rsidP="00764EC4">
      <w:pPr>
        <w:pStyle w:val="BodyText"/>
        <w:ind w:left="720"/>
      </w:pPr>
    </w:p>
    <w:p w14:paraId="21E1A7E9" w14:textId="2090FA50" w:rsidR="00EF188F" w:rsidRPr="00332042" w:rsidRDefault="007D700F" w:rsidP="00EF188F">
      <w:pPr>
        <w:pStyle w:val="Heading1"/>
        <w:rPr>
          <w:color w:val="C00000"/>
        </w:rPr>
      </w:pPr>
      <w:bookmarkStart w:id="6" w:name="_Toc46149902"/>
      <w:r>
        <w:t xml:space="preserve">5.0 </w:t>
      </w:r>
      <w:r w:rsidR="00EA4DAF" w:rsidRPr="00086852">
        <w:t>Eligibility Criteria</w:t>
      </w:r>
      <w:r w:rsidR="00332042" w:rsidRPr="00086852">
        <w:t xml:space="preserve"> for the IMP /un-registered Novel Medicinal Product</w:t>
      </w:r>
      <w:bookmarkEnd w:id="6"/>
    </w:p>
    <w:p w14:paraId="7BADD2DA" w14:textId="77777777" w:rsidR="00EF188F" w:rsidRPr="00332042" w:rsidRDefault="00EF188F" w:rsidP="00EF188F">
      <w:pPr>
        <w:pStyle w:val="Heading1"/>
        <w:rPr>
          <w:color w:val="C00000"/>
        </w:rPr>
      </w:pPr>
    </w:p>
    <w:p w14:paraId="6C723A9B" w14:textId="7AA2D778" w:rsidR="00527A3B" w:rsidRPr="000C5B88" w:rsidRDefault="00527A3B" w:rsidP="00E2556C">
      <w:pPr>
        <w:pStyle w:val="BodyText"/>
        <w:rPr>
          <w:color w:val="0D0D0D" w:themeColor="text1" w:themeTint="F2"/>
        </w:rPr>
      </w:pPr>
      <w:r w:rsidRPr="000C5B88">
        <w:rPr>
          <w:color w:val="0D0D0D" w:themeColor="text1" w:themeTint="F2"/>
        </w:rPr>
        <w:t>In order for an IMP</w:t>
      </w:r>
      <w:r w:rsidR="00332042" w:rsidRPr="000C5B88">
        <w:rPr>
          <w:color w:val="0D0D0D" w:themeColor="text1" w:themeTint="F2"/>
        </w:rPr>
        <w:t xml:space="preserve"> or un-registered medicinal product</w:t>
      </w:r>
      <w:r w:rsidRPr="000C5B88">
        <w:rPr>
          <w:color w:val="0D0D0D" w:themeColor="text1" w:themeTint="F2"/>
        </w:rPr>
        <w:t xml:space="preserve"> to be eligible for consideration for compassionate use </w:t>
      </w:r>
      <w:r w:rsidR="00F5205B" w:rsidRPr="000C5B88">
        <w:rPr>
          <w:color w:val="0D0D0D" w:themeColor="text1" w:themeTint="F2"/>
        </w:rPr>
        <w:t>approval to</w:t>
      </w:r>
      <w:r w:rsidR="001F2A3A" w:rsidRPr="000C5B88">
        <w:rPr>
          <w:color w:val="0D0D0D" w:themeColor="text1" w:themeTint="F2"/>
        </w:rPr>
        <w:t xml:space="preserve"> address a declared </w:t>
      </w:r>
      <w:r w:rsidR="00494501">
        <w:rPr>
          <w:color w:val="0D0D0D" w:themeColor="text1" w:themeTint="F2"/>
        </w:rPr>
        <w:t>epidemic/</w:t>
      </w:r>
      <w:r w:rsidR="004F1580" w:rsidRPr="000C5B88">
        <w:rPr>
          <w:color w:val="0D0D0D" w:themeColor="text1" w:themeTint="F2"/>
        </w:rPr>
        <w:t>pandemic</w:t>
      </w:r>
      <w:r w:rsidR="001F2A3A" w:rsidRPr="000C5B88">
        <w:rPr>
          <w:color w:val="0D0D0D" w:themeColor="text1" w:themeTint="F2"/>
        </w:rPr>
        <w:t>/ public health emergency of international concern</w:t>
      </w:r>
      <w:r w:rsidR="004F1580" w:rsidRPr="000C5B88">
        <w:rPr>
          <w:color w:val="0D0D0D" w:themeColor="text1" w:themeTint="F2"/>
        </w:rPr>
        <w:t>, ideally</w:t>
      </w:r>
      <w:r w:rsidR="00494501">
        <w:rPr>
          <w:color w:val="0D0D0D" w:themeColor="text1" w:themeTint="F2"/>
        </w:rPr>
        <w:t>, the product would</w:t>
      </w:r>
      <w:r w:rsidR="004F1580" w:rsidRPr="000C5B88">
        <w:rPr>
          <w:color w:val="0D0D0D" w:themeColor="text1" w:themeTint="F2"/>
        </w:rPr>
        <w:t xml:space="preserve"> be </w:t>
      </w:r>
      <w:r w:rsidRPr="000C5B88">
        <w:rPr>
          <w:color w:val="0D0D0D" w:themeColor="text1" w:themeTint="F2"/>
        </w:rPr>
        <w:t xml:space="preserve">included in the WHO </w:t>
      </w:r>
      <w:r w:rsidR="00B65310" w:rsidRPr="000C5B88">
        <w:rPr>
          <w:color w:val="0D0D0D" w:themeColor="text1" w:themeTint="F2"/>
        </w:rPr>
        <w:t>Emergency Use List</w:t>
      </w:r>
      <w:r w:rsidR="00EC6471">
        <w:rPr>
          <w:color w:val="0D0D0D" w:themeColor="text1" w:themeTint="F2"/>
        </w:rPr>
        <w:t xml:space="preserve"> </w:t>
      </w:r>
      <w:r w:rsidR="00B65310" w:rsidRPr="000C5B88">
        <w:rPr>
          <w:color w:val="0D0D0D" w:themeColor="text1" w:themeTint="F2"/>
        </w:rPr>
        <w:t>(</w:t>
      </w:r>
      <w:r w:rsidRPr="000C5B88">
        <w:rPr>
          <w:color w:val="0D0D0D" w:themeColor="text1" w:themeTint="F2"/>
        </w:rPr>
        <w:t>EUL</w:t>
      </w:r>
      <w:r w:rsidR="00B65310" w:rsidRPr="000C5B88">
        <w:rPr>
          <w:color w:val="0D0D0D" w:themeColor="text1" w:themeTint="F2"/>
        </w:rPr>
        <w:t>)</w:t>
      </w:r>
      <w:r w:rsidRPr="000C5B88">
        <w:rPr>
          <w:color w:val="0D0D0D" w:themeColor="text1" w:themeTint="F2"/>
        </w:rPr>
        <w:t>.</w:t>
      </w:r>
      <w:r w:rsidR="004F1580" w:rsidRPr="000C5B88">
        <w:rPr>
          <w:color w:val="0D0D0D" w:themeColor="text1" w:themeTint="F2"/>
        </w:rPr>
        <w:t xml:space="preserve"> </w:t>
      </w:r>
    </w:p>
    <w:p w14:paraId="5D8DB29E" w14:textId="77777777" w:rsidR="00C503F4" w:rsidRPr="00036416" w:rsidRDefault="00C503F4" w:rsidP="00E2556C">
      <w:pPr>
        <w:pStyle w:val="BodyText"/>
        <w:rPr>
          <w:color w:val="2F5496" w:themeColor="accent5" w:themeShade="BF"/>
        </w:rPr>
      </w:pPr>
    </w:p>
    <w:p w14:paraId="7056D1DC" w14:textId="475DB177" w:rsidR="004860D2" w:rsidRPr="00E66E77" w:rsidRDefault="00494501" w:rsidP="00E2556C">
      <w:pPr>
        <w:pStyle w:val="BodyText"/>
      </w:pPr>
      <w:r>
        <w:t xml:space="preserve">Public health emergency </w:t>
      </w:r>
      <w:r w:rsidR="001F2A3A" w:rsidRPr="00E66E77">
        <w:t>situations may occur, where the</w:t>
      </w:r>
      <w:r>
        <w:t xml:space="preserve"> WHO EUL may not include the IMP or where the</w:t>
      </w:r>
      <w:r w:rsidR="001F2A3A" w:rsidRPr="00E66E77">
        <w:t xml:space="preserve"> CUA is for an individual patient</w:t>
      </w:r>
      <w:r>
        <w:t xml:space="preserve">. </w:t>
      </w:r>
      <w:r w:rsidR="001F2A3A" w:rsidRPr="00E66E77">
        <w:t>In these instances,</w:t>
      </w:r>
      <w:r w:rsidR="00527A3B" w:rsidRPr="00E66E77">
        <w:t xml:space="preserve"> the WHO EUL may not include the IMP, in which case the following eligibility criteria apply:</w:t>
      </w:r>
    </w:p>
    <w:p w14:paraId="7973E6D4" w14:textId="5D48062B" w:rsidR="004860D2" w:rsidRPr="000F6A68" w:rsidRDefault="004860D2" w:rsidP="00036416">
      <w:pPr>
        <w:pStyle w:val="BodyText"/>
        <w:numPr>
          <w:ilvl w:val="0"/>
          <w:numId w:val="5"/>
        </w:numPr>
      </w:pPr>
      <w:r w:rsidRPr="000F6A68">
        <w:t>The disease for which the product is intended is serious or immediately life threatening, has the potential of causing</w:t>
      </w:r>
      <w:r w:rsidR="00494501">
        <w:t>/ has caused</w:t>
      </w:r>
      <w:r w:rsidRPr="000F6A68">
        <w:t xml:space="preserve"> an outbreak,</w:t>
      </w:r>
      <w:r w:rsidR="00F5205B" w:rsidRPr="000F6A68">
        <w:t xml:space="preserve"> epidemic or pandemic and </w:t>
      </w:r>
      <w:r w:rsidRPr="000F6A68">
        <w:t>there are no licensed products for the indication or for a critical subpopulation (e.g., children);</w:t>
      </w:r>
    </w:p>
    <w:p w14:paraId="59341C58" w14:textId="4D7D7C71" w:rsidR="004860D2" w:rsidRPr="000F6A68" w:rsidRDefault="004860D2" w:rsidP="00036416">
      <w:pPr>
        <w:pStyle w:val="BodyText"/>
        <w:numPr>
          <w:ilvl w:val="0"/>
          <w:numId w:val="5"/>
        </w:numPr>
      </w:pPr>
      <w:r w:rsidRPr="000F6A68">
        <w:lastRenderedPageBreak/>
        <w:t>Existing products have not been successful in eradicating</w:t>
      </w:r>
      <w:r w:rsidR="00494501">
        <w:t>/ treating</w:t>
      </w:r>
      <w:r w:rsidRPr="000F6A68">
        <w:t xml:space="preserve"> the disease or preventing outbreaks (in the case of vaccines and medicines); </w:t>
      </w:r>
    </w:p>
    <w:p w14:paraId="2B77D220" w14:textId="739FB813" w:rsidR="0070084B" w:rsidRDefault="004860D2" w:rsidP="00036416">
      <w:pPr>
        <w:pStyle w:val="BodyText"/>
        <w:numPr>
          <w:ilvl w:val="0"/>
          <w:numId w:val="5"/>
        </w:numPr>
      </w:pPr>
      <w:r w:rsidRPr="000F6A68">
        <w:t xml:space="preserve">The product is manufactured in compliance with current Good Manufacturing Practices (GMP) in the case of medicines and vaccines and under a functional Quality Management System (QMS) in the case of IVDs, and; </w:t>
      </w:r>
    </w:p>
    <w:p w14:paraId="2E038C5C" w14:textId="1CAB20BA" w:rsidR="00E2556C" w:rsidRDefault="0070084B" w:rsidP="00036416">
      <w:pPr>
        <w:pStyle w:val="BodyText"/>
        <w:numPr>
          <w:ilvl w:val="0"/>
          <w:numId w:val="5"/>
        </w:numPr>
      </w:pPr>
      <w:r w:rsidRPr="000C5B88">
        <w:rPr>
          <w:color w:val="0D0D0D" w:themeColor="text1" w:themeTint="F2"/>
        </w:rPr>
        <w:t>T</w:t>
      </w:r>
      <w:r w:rsidR="004860D2" w:rsidRPr="000C5B88">
        <w:rPr>
          <w:color w:val="0D0D0D" w:themeColor="text1" w:themeTint="F2"/>
        </w:rPr>
        <w:t xml:space="preserve">he </w:t>
      </w:r>
      <w:r w:rsidR="00C93E84" w:rsidRPr="000C5B88">
        <w:rPr>
          <w:color w:val="0D0D0D" w:themeColor="text1" w:themeTint="F2"/>
        </w:rPr>
        <w:t>manufacturer/sponsor</w:t>
      </w:r>
      <w:r w:rsidR="004860D2" w:rsidRPr="000C5B88">
        <w:rPr>
          <w:color w:val="0D0D0D" w:themeColor="text1" w:themeTint="F2"/>
        </w:rPr>
        <w:t xml:space="preserve"> undertakes to complete the development of the product (validation and verification of the product in the case of IVDs) and</w:t>
      </w:r>
      <w:r w:rsidR="00F5205B" w:rsidRPr="000C5B88">
        <w:rPr>
          <w:color w:val="0D0D0D" w:themeColor="text1" w:themeTint="F2"/>
        </w:rPr>
        <w:t xml:space="preserve"> apply for marketing authorizatio</w:t>
      </w:r>
      <w:r w:rsidR="00EC6471">
        <w:rPr>
          <w:color w:val="0D0D0D" w:themeColor="text1" w:themeTint="F2"/>
        </w:rPr>
        <w:t xml:space="preserve">n. </w:t>
      </w:r>
      <w:r w:rsidR="004860D2" w:rsidRPr="000C5B88">
        <w:rPr>
          <w:color w:val="0D0D0D" w:themeColor="text1" w:themeTint="F2"/>
        </w:rPr>
        <w:t xml:space="preserve"> </w:t>
      </w:r>
      <w:r w:rsidR="004860D2" w:rsidRPr="000F6A68">
        <w:t>For that purpose, the remaining clinical trials and other testing needed to complete the development of the product must already be underway at the time of the application</w:t>
      </w:r>
      <w:r w:rsidR="00F5205B" w:rsidRPr="000F6A68">
        <w:t>.</w:t>
      </w:r>
      <w:r w:rsidR="00546D39">
        <w:t xml:space="preserve"> </w:t>
      </w:r>
    </w:p>
    <w:p w14:paraId="3518F2AB" w14:textId="1D1C816A" w:rsidR="00F5205B" w:rsidRDefault="0070084B" w:rsidP="00036416">
      <w:pPr>
        <w:pStyle w:val="BodyText"/>
        <w:numPr>
          <w:ilvl w:val="0"/>
          <w:numId w:val="5"/>
        </w:numPr>
      </w:pPr>
      <w:r>
        <w:t xml:space="preserve">The approval for compassionate use expires when the pandemic </w:t>
      </w:r>
      <w:r w:rsidR="00546D39">
        <w:t>ends or 12 months</w:t>
      </w:r>
      <w:r w:rsidR="00EC6471">
        <w:t xml:space="preserve"> from issue date,</w:t>
      </w:r>
      <w:r w:rsidR="00546D39">
        <w:t xml:space="preserve"> whichever occurs first.</w:t>
      </w:r>
    </w:p>
    <w:p w14:paraId="664E3FEC" w14:textId="77777777" w:rsidR="00546D39" w:rsidRPr="000F6A68" w:rsidRDefault="00546D39" w:rsidP="00036416">
      <w:pPr>
        <w:pStyle w:val="BodyText"/>
        <w:ind w:left="820"/>
      </w:pPr>
    </w:p>
    <w:p w14:paraId="59CAE830" w14:textId="49C86B16" w:rsidR="004860D2" w:rsidRDefault="00F5205B" w:rsidP="00E2556C">
      <w:pPr>
        <w:pStyle w:val="BodyText"/>
      </w:pPr>
      <w:r w:rsidRPr="000F6A68">
        <w:t xml:space="preserve">Countries may </w:t>
      </w:r>
      <w:r w:rsidR="004860D2" w:rsidRPr="000F6A68">
        <w:t>consider revie</w:t>
      </w:r>
      <w:r w:rsidRPr="000F6A68">
        <w:t>wing a candidate product for CUA</w:t>
      </w:r>
      <w:r w:rsidR="004860D2" w:rsidRPr="000F6A68">
        <w:t xml:space="preserve"> that does not meet al</w:t>
      </w:r>
      <w:r w:rsidRPr="000F6A68">
        <w:t>l of the re</w:t>
      </w:r>
      <w:r w:rsidR="00C503F4">
        <w:t>quirements</w:t>
      </w:r>
      <w:r w:rsidR="00B65310">
        <w:t>,</w:t>
      </w:r>
      <w:r w:rsidR="00C503F4">
        <w:t xml:space="preserve"> based on</w:t>
      </w:r>
      <w:r w:rsidR="00503A64">
        <w:t xml:space="preserve"> specific</w:t>
      </w:r>
      <w:r w:rsidR="00C503F4">
        <w:t xml:space="preserve"> risk-benefit</w:t>
      </w:r>
      <w:r w:rsidRPr="000F6A68">
        <w:t xml:space="preserve"> assessment.</w:t>
      </w:r>
    </w:p>
    <w:p w14:paraId="55CDD783" w14:textId="74DEC4E2" w:rsidR="00E2556C" w:rsidRDefault="00E2556C" w:rsidP="00E2556C">
      <w:pPr>
        <w:pStyle w:val="BodyText"/>
      </w:pPr>
    </w:p>
    <w:p w14:paraId="213418E6" w14:textId="002E0583" w:rsidR="00E2556C" w:rsidRDefault="00E2556C" w:rsidP="00E2556C">
      <w:pPr>
        <w:pStyle w:val="BodyText"/>
      </w:pPr>
    </w:p>
    <w:p w14:paraId="43270762" w14:textId="2855312B" w:rsidR="00E2556C" w:rsidRPr="000F6A68" w:rsidRDefault="00E2556C" w:rsidP="00C503F4">
      <w:pPr>
        <w:pStyle w:val="BodyText"/>
        <w:ind w:left="0"/>
      </w:pPr>
    </w:p>
    <w:p w14:paraId="25826442" w14:textId="77ED7EFD" w:rsidR="00AD059C" w:rsidRDefault="00DC2C69" w:rsidP="00AD059C">
      <w:pPr>
        <w:pStyle w:val="Heading1"/>
      </w:pPr>
      <w:bookmarkStart w:id="7" w:name="_Toc46149903"/>
      <w:r>
        <w:t>6</w:t>
      </w:r>
      <w:r w:rsidR="00AD059C" w:rsidRPr="00351D44">
        <w:t>.0</w:t>
      </w:r>
      <w:r w:rsidR="00F5205B">
        <w:t xml:space="preserve"> Application </w:t>
      </w:r>
      <w:r w:rsidR="00C503F4">
        <w:t xml:space="preserve">Procedure </w:t>
      </w:r>
      <w:r w:rsidR="00F5205B">
        <w:t xml:space="preserve">for </w:t>
      </w:r>
      <w:r w:rsidR="004860D2">
        <w:t>Compassionate Use of M</w:t>
      </w:r>
      <w:r w:rsidR="0093507C">
        <w:t>edicine for an Individual Patient</w:t>
      </w:r>
      <w:bookmarkEnd w:id="7"/>
    </w:p>
    <w:p w14:paraId="092B801B" w14:textId="77777777" w:rsidR="0093507C" w:rsidRPr="008018DF" w:rsidRDefault="0093507C" w:rsidP="0093507C">
      <w:pPr>
        <w:pStyle w:val="BodyText"/>
      </w:pPr>
    </w:p>
    <w:p w14:paraId="56AD3CCC" w14:textId="5EA4A5B6" w:rsidR="009554F9" w:rsidRPr="00E2556C" w:rsidRDefault="00C503F4" w:rsidP="00E2556C">
      <w:pPr>
        <w:pStyle w:val="BodyText"/>
      </w:pPr>
      <w:r>
        <w:t xml:space="preserve">For an </w:t>
      </w:r>
      <w:r w:rsidR="00F5205B" w:rsidRPr="00E2556C">
        <w:t xml:space="preserve">individual patient, the </w:t>
      </w:r>
      <w:r w:rsidR="00372F09">
        <w:t xml:space="preserve">physician </w:t>
      </w:r>
      <w:r w:rsidR="00F5205B" w:rsidRPr="00E2556C">
        <w:t xml:space="preserve">submits </w:t>
      </w:r>
      <w:r w:rsidR="009554F9" w:rsidRPr="00E2556C">
        <w:t xml:space="preserve">a letter </w:t>
      </w:r>
      <w:r w:rsidR="000C5B88">
        <w:t>of intent to the NRA together with the CUA (Appendix 1)</w:t>
      </w:r>
      <w:r w:rsidR="000447FA">
        <w:t xml:space="preserve"> which</w:t>
      </w:r>
      <w:r w:rsidR="009554F9" w:rsidRPr="00E2556C">
        <w:t xml:space="preserve"> should contain the following information:</w:t>
      </w:r>
    </w:p>
    <w:p w14:paraId="42C8715B" w14:textId="413CA6FF" w:rsidR="00372F09" w:rsidRPr="00503A64" w:rsidRDefault="00372F09" w:rsidP="00372F09">
      <w:pPr>
        <w:pStyle w:val="BodyText"/>
        <w:numPr>
          <w:ilvl w:val="0"/>
          <w:numId w:val="8"/>
        </w:numPr>
      </w:pPr>
      <w:r w:rsidRPr="00F04493">
        <w:rPr>
          <w:color w:val="0D0D0D" w:themeColor="text1" w:themeTint="F2"/>
        </w:rPr>
        <w:t>Name, designation and contact details of applicant</w:t>
      </w:r>
    </w:p>
    <w:p w14:paraId="1EB1870D" w14:textId="77777777" w:rsidR="00372F09" w:rsidRDefault="00372F09" w:rsidP="00372F09">
      <w:pPr>
        <w:pStyle w:val="BodyText"/>
        <w:numPr>
          <w:ilvl w:val="0"/>
          <w:numId w:val="8"/>
        </w:numPr>
      </w:pPr>
      <w:r>
        <w:t>Evidence that the sponsor is in agreement with the use of the IMP as being applied for</w:t>
      </w:r>
    </w:p>
    <w:p w14:paraId="1B96D325" w14:textId="1C28CC6C" w:rsidR="00372F09" w:rsidRDefault="00372F09" w:rsidP="00372F09">
      <w:pPr>
        <w:pStyle w:val="BodyText"/>
        <w:numPr>
          <w:ilvl w:val="0"/>
          <w:numId w:val="8"/>
        </w:numPr>
      </w:pPr>
      <w:r>
        <w:t>Name (INN, study code if applicable), dosage form, manufacturer details and country of origin of the IMP/un-registered novel product</w:t>
      </w:r>
    </w:p>
    <w:p w14:paraId="042EE89E" w14:textId="6A686219" w:rsidR="00372F09" w:rsidRDefault="00372F09" w:rsidP="00372F09">
      <w:pPr>
        <w:pStyle w:val="BodyText"/>
        <w:numPr>
          <w:ilvl w:val="0"/>
          <w:numId w:val="8"/>
        </w:numPr>
      </w:pPr>
      <w:r>
        <w:t xml:space="preserve">Quality, Safety and Efficacy information </w:t>
      </w:r>
    </w:p>
    <w:p w14:paraId="169EB564" w14:textId="77777777" w:rsidR="00372F09" w:rsidRDefault="00372F09" w:rsidP="00372F09">
      <w:pPr>
        <w:pStyle w:val="BodyText"/>
        <w:numPr>
          <w:ilvl w:val="0"/>
          <w:numId w:val="8"/>
        </w:numPr>
      </w:pPr>
      <w:r>
        <w:t>Quantity to be imported and dose and duration to be administered</w:t>
      </w:r>
    </w:p>
    <w:p w14:paraId="61A17573" w14:textId="77777777" w:rsidR="00372F09" w:rsidRDefault="00372F09" w:rsidP="00372F09">
      <w:pPr>
        <w:pStyle w:val="BodyText"/>
        <w:numPr>
          <w:ilvl w:val="0"/>
          <w:numId w:val="8"/>
        </w:numPr>
      </w:pPr>
      <w:r>
        <w:t>Estimated date of import</w:t>
      </w:r>
    </w:p>
    <w:p w14:paraId="0A23987E" w14:textId="336BBBE6" w:rsidR="00372F09" w:rsidRDefault="00372F09" w:rsidP="00372F09">
      <w:pPr>
        <w:pStyle w:val="BodyText"/>
        <w:numPr>
          <w:ilvl w:val="0"/>
          <w:numId w:val="8"/>
        </w:numPr>
      </w:pPr>
      <w:r>
        <w:t>Patient’s description, gender, and other relevant details</w:t>
      </w:r>
    </w:p>
    <w:p w14:paraId="129DD9D7" w14:textId="0A41D12B" w:rsidR="00372F09" w:rsidRDefault="00372F09" w:rsidP="00372F09">
      <w:pPr>
        <w:pStyle w:val="BodyText"/>
        <w:numPr>
          <w:ilvl w:val="0"/>
          <w:numId w:val="8"/>
        </w:numPr>
      </w:pPr>
      <w:r>
        <w:t>Diagnosis of the condition</w:t>
      </w:r>
    </w:p>
    <w:p w14:paraId="4CBACC32" w14:textId="2144651D" w:rsidR="00372F09" w:rsidRDefault="00372F09" w:rsidP="00372F09">
      <w:pPr>
        <w:pStyle w:val="BodyText"/>
        <w:numPr>
          <w:ilvl w:val="0"/>
          <w:numId w:val="8"/>
        </w:numPr>
      </w:pPr>
      <w:r>
        <w:t>Justification for the application</w:t>
      </w:r>
    </w:p>
    <w:p w14:paraId="353871C2" w14:textId="708852ED" w:rsidR="00372F09" w:rsidRPr="00086852" w:rsidRDefault="00372F09" w:rsidP="00372F09">
      <w:pPr>
        <w:pStyle w:val="BodyText"/>
        <w:numPr>
          <w:ilvl w:val="0"/>
          <w:numId w:val="8"/>
        </w:numPr>
      </w:pPr>
      <w:r w:rsidRPr="00086852">
        <w:t>Evidence that the patient</w:t>
      </w:r>
      <w:r>
        <w:t xml:space="preserve"> is aware of and has agreed to use the IMP/ un-registered novel product</w:t>
      </w:r>
    </w:p>
    <w:p w14:paraId="5170DFEA" w14:textId="77777777" w:rsidR="00372F09" w:rsidRDefault="00372F09" w:rsidP="00372F09">
      <w:pPr>
        <w:pStyle w:val="BodyText"/>
        <w:numPr>
          <w:ilvl w:val="0"/>
          <w:numId w:val="8"/>
        </w:numPr>
      </w:pPr>
      <w:r w:rsidRPr="00036416">
        <w:t>The applicant/</w:t>
      </w:r>
      <w:r>
        <w:t>physician</w:t>
      </w:r>
      <w:r w:rsidRPr="00036416">
        <w:t xml:space="preserve"> responsible for</w:t>
      </w:r>
      <w:r>
        <w:t xml:space="preserve"> administering the</w:t>
      </w:r>
      <w:r w:rsidRPr="00036416">
        <w:t xml:space="preserve"> therapy</w:t>
      </w:r>
      <w:r>
        <w:t xml:space="preserve"> to the patient,</w:t>
      </w:r>
      <w:r w:rsidRPr="00036416">
        <w:t xml:space="preserve"> c</w:t>
      </w:r>
      <w:r w:rsidRPr="00E7116F">
        <w:t>ommit</w:t>
      </w:r>
      <w:r w:rsidRPr="00036416">
        <w:t>s</w:t>
      </w:r>
      <w:r w:rsidRPr="00E7116F">
        <w:t xml:space="preserve"> </w:t>
      </w:r>
      <w:r>
        <w:t>to inform the NRA and EC of the outcome of therapy</w:t>
      </w:r>
    </w:p>
    <w:p w14:paraId="724AF5F0" w14:textId="77777777" w:rsidR="00372F09" w:rsidRDefault="00372F09" w:rsidP="00372F09">
      <w:pPr>
        <w:pStyle w:val="BodyText"/>
        <w:ind w:left="460"/>
      </w:pPr>
      <w:r>
        <w:t>•</w:t>
      </w:r>
      <w:r>
        <w:tab/>
        <w:t xml:space="preserve">  Any other relevant information</w:t>
      </w:r>
    </w:p>
    <w:p w14:paraId="5BA4F7E9" w14:textId="65AC2F80" w:rsidR="00BE5F1A" w:rsidRDefault="00BE5F1A" w:rsidP="00E2556C">
      <w:pPr>
        <w:pStyle w:val="BodyText"/>
      </w:pPr>
    </w:p>
    <w:p w14:paraId="220C1170" w14:textId="157152DB" w:rsidR="000447FA" w:rsidRDefault="000447FA" w:rsidP="00E2556C">
      <w:pPr>
        <w:pStyle w:val="BodyText"/>
      </w:pPr>
      <w:r w:rsidRPr="004F1580">
        <w:t>The NRA should confirm that the quality, safety and efficacy information available justifies the use of the IMP for the individual named patient.</w:t>
      </w:r>
      <w:r w:rsidR="004F1580">
        <w:t xml:space="preserve"> </w:t>
      </w:r>
    </w:p>
    <w:p w14:paraId="403BB8F4" w14:textId="77777777" w:rsidR="00824ECA" w:rsidRPr="00E2556C" w:rsidRDefault="00824ECA" w:rsidP="00E2556C">
      <w:pPr>
        <w:pStyle w:val="BodyText"/>
      </w:pPr>
    </w:p>
    <w:p w14:paraId="4620DB2E" w14:textId="36853035" w:rsidR="00BE5F1A" w:rsidRPr="00E2556C" w:rsidRDefault="000C5B88" w:rsidP="00E2556C">
      <w:pPr>
        <w:pStyle w:val="BodyText"/>
      </w:pPr>
      <w:r>
        <w:t>The CUA</w:t>
      </w:r>
      <w:r w:rsidR="00C503F4">
        <w:t xml:space="preserve"> should include information required for EC assessment. T</w:t>
      </w:r>
      <w:r w:rsidR="00BE5F1A" w:rsidRPr="00E2556C">
        <w:t xml:space="preserve">he </w:t>
      </w:r>
      <w:r w:rsidR="00DE6718">
        <w:t>physician</w:t>
      </w:r>
      <w:r w:rsidR="00BE5F1A" w:rsidRPr="00E2556C">
        <w:t xml:space="preserve"> should provide a detailed patient history and treatment plan, </w:t>
      </w:r>
      <w:r w:rsidR="00824ECA">
        <w:t xml:space="preserve">usually </w:t>
      </w:r>
      <w:r w:rsidR="00BE5F1A" w:rsidRPr="00E2556C">
        <w:t>including the following:</w:t>
      </w:r>
    </w:p>
    <w:p w14:paraId="22A9798A" w14:textId="77777777" w:rsidR="00372F09" w:rsidRPr="00036416" w:rsidRDefault="00372F09" w:rsidP="00372F09">
      <w:pPr>
        <w:pStyle w:val="BodyText"/>
        <w:ind w:left="720"/>
      </w:pPr>
      <w:r w:rsidRPr="00036416">
        <w:t xml:space="preserve">•The proposed daily dose, route, and frequency of administration, duration of planned </w:t>
      </w:r>
      <w:r w:rsidRPr="00036416">
        <w:lastRenderedPageBreak/>
        <w:t xml:space="preserve">treatment, criteria for discontinuation of treatment, and planned </w:t>
      </w:r>
      <w:r>
        <w:t>monitoring</w:t>
      </w:r>
      <w:r w:rsidRPr="00036416">
        <w:t xml:space="preserve"> for adverse events;</w:t>
      </w:r>
    </w:p>
    <w:p w14:paraId="5AA85D47" w14:textId="45CF6257" w:rsidR="00372F09" w:rsidRPr="00036416" w:rsidRDefault="00372F09" w:rsidP="00372F09">
      <w:pPr>
        <w:pStyle w:val="BodyText"/>
        <w:ind w:left="720"/>
      </w:pPr>
      <w:r w:rsidRPr="00036416">
        <w:t>•The key details of the patients’ individual history, including diagnosis and summary of prior therapy (including response to such therapy), as we</w:t>
      </w:r>
      <w:r w:rsidR="00DE6718">
        <w:t>ll as information regarding the</w:t>
      </w:r>
      <w:r w:rsidRPr="00036416">
        <w:t xml:space="preserve"> patient’s relevant clinical characteristics (such as comorbid conditions and concomitant medications) that are necessary to assess the potential for increased risks of the drug;</w:t>
      </w:r>
    </w:p>
    <w:p w14:paraId="080F44D6" w14:textId="77777777" w:rsidR="00372F09" w:rsidRPr="00036416" w:rsidRDefault="00372F09" w:rsidP="00372F09">
      <w:pPr>
        <w:pStyle w:val="BodyText"/>
        <w:ind w:left="720"/>
      </w:pPr>
      <w:r w:rsidRPr="00036416">
        <w:t>•A summary of known risks of the IMP/ un-registered novel medicine</w:t>
      </w:r>
    </w:p>
    <w:p w14:paraId="4CD089A0" w14:textId="57362A9D" w:rsidR="00372F09" w:rsidRDefault="00372F09" w:rsidP="00372F09">
      <w:pPr>
        <w:pStyle w:val="BodyText"/>
        <w:ind w:left="720"/>
      </w:pPr>
      <w:r w:rsidRPr="00036416">
        <w:t>•For pediatric patients, evidence of age-appropriate assent from the child, and written permission from the parent or guardian should be submitted.</w:t>
      </w:r>
    </w:p>
    <w:p w14:paraId="540DB229" w14:textId="77777777" w:rsidR="00372F09" w:rsidRDefault="00372F09" w:rsidP="00372F09">
      <w:pPr>
        <w:pStyle w:val="BodyText"/>
        <w:ind w:left="720"/>
      </w:pPr>
    </w:p>
    <w:p w14:paraId="31DD5C2E" w14:textId="6F8B8404" w:rsidR="00E66E77" w:rsidRDefault="00A91A40" w:rsidP="00535F7B">
      <w:pPr>
        <w:pStyle w:val="BodyText"/>
        <w:rPr>
          <w:b/>
        </w:rPr>
      </w:pPr>
      <w:r>
        <w:rPr>
          <w:b/>
        </w:rPr>
        <w:t>S</w:t>
      </w:r>
      <w:r w:rsidR="00824ECA" w:rsidRPr="00D161E6">
        <w:rPr>
          <w:b/>
        </w:rPr>
        <w:t>ome of the above points are “practice of medicine” issues and may not be fully answerable in detail.  However,</w:t>
      </w:r>
      <w:r w:rsidR="00C75E77" w:rsidRPr="00C75E77">
        <w:t xml:space="preserve"> </w:t>
      </w:r>
      <w:r w:rsidR="00C75E77">
        <w:rPr>
          <w:b/>
        </w:rPr>
        <w:t>it should</w:t>
      </w:r>
      <w:r w:rsidR="00C75E77" w:rsidRPr="00C75E77">
        <w:rPr>
          <w:b/>
        </w:rPr>
        <w:t xml:space="preserve"> be clear that a careful benefit/risk assessment of all options has been made in recommending compassionate access.   </w:t>
      </w:r>
      <w:r w:rsidR="00C75E77">
        <w:rPr>
          <w:b/>
        </w:rPr>
        <w:t>T</w:t>
      </w:r>
      <w:r w:rsidR="00824ECA" w:rsidRPr="00D161E6">
        <w:rPr>
          <w:b/>
        </w:rPr>
        <w:t xml:space="preserve">he information provided should </w:t>
      </w:r>
      <w:r w:rsidR="00C75E77">
        <w:rPr>
          <w:b/>
        </w:rPr>
        <w:t xml:space="preserve">justify </w:t>
      </w:r>
      <w:r w:rsidR="00824ECA" w:rsidRPr="00D161E6">
        <w:rPr>
          <w:b/>
        </w:rPr>
        <w:t xml:space="preserve">why compassionate access to the IMP/medicine is the only appropriate route in the case.  </w:t>
      </w:r>
    </w:p>
    <w:p w14:paraId="7BC62907" w14:textId="77777777" w:rsidR="00421390" w:rsidRPr="00E2556C" w:rsidRDefault="00421390" w:rsidP="00E2556C">
      <w:pPr>
        <w:pStyle w:val="BodyText"/>
      </w:pPr>
    </w:p>
    <w:p w14:paraId="02092552" w14:textId="3BEDAFDC" w:rsidR="00AD5353" w:rsidRDefault="00AD5353" w:rsidP="00E2556C">
      <w:pPr>
        <w:pStyle w:val="BodyText"/>
      </w:pPr>
      <w:r w:rsidRPr="00E2556C">
        <w:t>The EC should confirm that the</w:t>
      </w:r>
      <w:r w:rsidR="0093507C" w:rsidRPr="00E2556C">
        <w:t xml:space="preserve"> primary purpos</w:t>
      </w:r>
      <w:r w:rsidRPr="00E2556C">
        <w:t>e of the CUA is</w:t>
      </w:r>
      <w:r w:rsidR="0093507C" w:rsidRPr="00E2556C">
        <w:t xml:space="preserve"> to diagnose, monitor, or treat a patient’s disease or condition</w:t>
      </w:r>
      <w:r w:rsidR="00824ECA">
        <w:t>,</w:t>
      </w:r>
      <w:r w:rsidR="0093507C" w:rsidRPr="00E2556C">
        <w:t xml:space="preserve"> rather than to generate scientific information </w:t>
      </w:r>
      <w:r w:rsidR="00824ECA">
        <w:t>on</w:t>
      </w:r>
      <w:r w:rsidR="0093507C" w:rsidRPr="00E2556C">
        <w:t xml:space="preserve"> the safety and </w:t>
      </w:r>
      <w:r w:rsidR="007D5AE9">
        <w:t>efficacy</w:t>
      </w:r>
      <w:r w:rsidR="0093507C" w:rsidRPr="00E2556C">
        <w:t xml:space="preserve">. </w:t>
      </w:r>
    </w:p>
    <w:p w14:paraId="1B17E3F1" w14:textId="2C0B53FD" w:rsidR="00AD5353" w:rsidRPr="00E2556C" w:rsidRDefault="00AD5353" w:rsidP="00036416">
      <w:pPr>
        <w:pStyle w:val="BodyText"/>
        <w:ind w:left="0"/>
      </w:pPr>
    </w:p>
    <w:p w14:paraId="75715CC9" w14:textId="34FD8600" w:rsidR="009A4534" w:rsidRDefault="00AD5353" w:rsidP="00E2556C">
      <w:pPr>
        <w:pStyle w:val="BodyText"/>
      </w:pPr>
      <w:r w:rsidRPr="00E2556C">
        <w:t>In approving the use of th</w:t>
      </w:r>
      <w:r w:rsidR="000C5B88">
        <w:t xml:space="preserve">e IMP or unregistered novel </w:t>
      </w:r>
      <w:r w:rsidRPr="00E2556C">
        <w:t xml:space="preserve">product for use by an individual patient, NRAs and ECs </w:t>
      </w:r>
      <w:r w:rsidR="009A4534" w:rsidRPr="00E2556C">
        <w:t xml:space="preserve">should clearly state in the approval letter the conditions and context of the permission in accordance with national laws. Conditions should include but are not limited </w:t>
      </w:r>
      <w:r w:rsidR="009A4534">
        <w:t>to the following:</w:t>
      </w:r>
    </w:p>
    <w:p w14:paraId="20C36B9B" w14:textId="2B235624" w:rsidR="009A4534" w:rsidRDefault="009A4534" w:rsidP="00036416">
      <w:pPr>
        <w:pStyle w:val="BodyText"/>
        <w:numPr>
          <w:ilvl w:val="0"/>
          <w:numId w:val="2"/>
        </w:numPr>
      </w:pPr>
      <w:r>
        <w:t>T</w:t>
      </w:r>
      <w:r w:rsidR="00E2556C">
        <w:t xml:space="preserve">he approval </w:t>
      </w:r>
      <w:r w:rsidR="00AD5353">
        <w:t xml:space="preserve">is for the use of the IMP/un-registered </w:t>
      </w:r>
      <w:r w:rsidR="00DE6718">
        <w:t>novel product</w:t>
      </w:r>
      <w:r w:rsidR="00AD5353">
        <w:t xml:space="preserve"> within the context requested for</w:t>
      </w:r>
      <w:r>
        <w:t xml:space="preserve"> and for the individual patient only.</w:t>
      </w:r>
    </w:p>
    <w:p w14:paraId="53F2BB6E" w14:textId="05AC7E92" w:rsidR="009A4534" w:rsidRDefault="009A4534" w:rsidP="00036416">
      <w:pPr>
        <w:pStyle w:val="BodyText"/>
        <w:numPr>
          <w:ilvl w:val="0"/>
          <w:numId w:val="2"/>
        </w:numPr>
      </w:pPr>
      <w:r w:rsidRPr="009A4534">
        <w:t xml:space="preserve">The outcome of the use is the responsibility of the </w:t>
      </w:r>
      <w:r w:rsidR="00372F09">
        <w:t>physician</w:t>
      </w:r>
      <w:r w:rsidRPr="009A4534">
        <w:t xml:space="preserve"> making th</w:t>
      </w:r>
      <w:r>
        <w:t>e request.</w:t>
      </w:r>
    </w:p>
    <w:p w14:paraId="519054BB" w14:textId="45805233" w:rsidR="009A4534" w:rsidRDefault="009A4534" w:rsidP="00036416">
      <w:pPr>
        <w:pStyle w:val="BodyText"/>
        <w:numPr>
          <w:ilvl w:val="0"/>
          <w:numId w:val="2"/>
        </w:numPr>
      </w:pPr>
      <w:r>
        <w:t xml:space="preserve">The </w:t>
      </w:r>
      <w:r w:rsidR="00A91A40">
        <w:t xml:space="preserve">physician </w:t>
      </w:r>
      <w:r>
        <w:t xml:space="preserve">should submit a safety report on the use of the IMP/un-registered medicine to the NRA and EC. </w:t>
      </w:r>
    </w:p>
    <w:p w14:paraId="46C7E108" w14:textId="4EDCA97D" w:rsidR="009A0F80" w:rsidRDefault="009A4534" w:rsidP="00036416">
      <w:pPr>
        <w:pStyle w:val="BodyText"/>
        <w:numPr>
          <w:ilvl w:val="0"/>
          <w:numId w:val="2"/>
        </w:numPr>
      </w:pPr>
      <w:r>
        <w:t>I</w:t>
      </w:r>
      <w:r w:rsidR="00AD5353">
        <w:t xml:space="preserve">f an import permit is issued it should be specified that </w:t>
      </w:r>
      <w:r w:rsidR="00A91A40">
        <w:t>the permit</w:t>
      </w:r>
      <w:r w:rsidR="00AD5353">
        <w:t xml:space="preserve"> is for a sin</w:t>
      </w:r>
      <w:r>
        <w:t xml:space="preserve">gle import </w:t>
      </w:r>
      <w:r w:rsidR="00AD5353">
        <w:t>of the stated quantity</w:t>
      </w:r>
      <w:r>
        <w:t xml:space="preserve"> only.</w:t>
      </w:r>
      <w:r w:rsidR="000447FA">
        <w:t xml:space="preserve"> The import permit validity should also be stated, for example valid for 6 months from date of issue.</w:t>
      </w:r>
      <w:r w:rsidR="0010190E">
        <w:t xml:space="preserve"> In general, a reassessment of the patient’s need should occur at least every 6 months.  </w:t>
      </w:r>
    </w:p>
    <w:p w14:paraId="2778E4BA" w14:textId="345F153C" w:rsidR="009A4534" w:rsidRDefault="009A4534" w:rsidP="00351D44">
      <w:pPr>
        <w:pStyle w:val="BodyText"/>
      </w:pPr>
    </w:p>
    <w:p w14:paraId="277B1072" w14:textId="6CADC3AB" w:rsidR="00021A0D" w:rsidRDefault="00E46688" w:rsidP="00D33B2F">
      <w:pPr>
        <w:pStyle w:val="BodyText"/>
        <w:ind w:left="0"/>
      </w:pPr>
      <w:r>
        <w:t xml:space="preserve">For emergency Compassionate Use, the </w:t>
      </w:r>
      <w:r w:rsidR="00372F09">
        <w:t>physician</w:t>
      </w:r>
      <w:r>
        <w:t xml:space="preserve"> is required to notify the NRA a</w:t>
      </w:r>
      <w:r w:rsidR="00021A0D">
        <w:t xml:space="preserve">bout intent to </w:t>
      </w:r>
      <w:r w:rsidR="009B2ACF">
        <w:t>import and</w:t>
      </w:r>
      <w:r w:rsidR="000447FA">
        <w:t xml:space="preserve"> should</w:t>
      </w:r>
      <w:r>
        <w:t xml:space="preserve"> receive an emergency import permit</w:t>
      </w:r>
      <w:r w:rsidR="00021A0D">
        <w:t xml:space="preserve"> within 24 hours,</w:t>
      </w:r>
      <w:r w:rsidR="000447FA">
        <w:t xml:space="preserve"> if required by national legislature and import control regulations</w:t>
      </w:r>
      <w:r w:rsidR="00021A0D">
        <w:t xml:space="preserve">. The emergency compassionate use import permit should state </w:t>
      </w:r>
      <w:r>
        <w:t>the necessary details of the patient and IMP or</w:t>
      </w:r>
      <w:r w:rsidR="00DE6718">
        <w:t xml:space="preserve"> un-registered novel</w:t>
      </w:r>
      <w:r>
        <w:t xml:space="preserve"> product</w:t>
      </w:r>
      <w:r w:rsidR="00DE6718">
        <w:t>.</w:t>
      </w:r>
      <w:r>
        <w:t xml:space="preserve"> </w:t>
      </w:r>
    </w:p>
    <w:p w14:paraId="4DAFDE03" w14:textId="5209B78B" w:rsidR="00021A0D" w:rsidRPr="000C5B88" w:rsidRDefault="00E46688" w:rsidP="00D33B2F">
      <w:pPr>
        <w:pStyle w:val="BodyText"/>
        <w:ind w:left="0"/>
        <w:rPr>
          <w:color w:val="0D0D0D" w:themeColor="text1" w:themeTint="F2"/>
        </w:rPr>
      </w:pPr>
      <w:r w:rsidRPr="000C5B88">
        <w:rPr>
          <w:color w:val="0D0D0D" w:themeColor="text1" w:themeTint="F2"/>
        </w:rPr>
        <w:t>The quantity that may be impo</w:t>
      </w:r>
      <w:r w:rsidR="00772F39" w:rsidRPr="000C5B88">
        <w:rPr>
          <w:color w:val="0D0D0D" w:themeColor="text1" w:themeTint="F2"/>
        </w:rPr>
        <w:t>rted should be limited to a quantity that</w:t>
      </w:r>
      <w:r w:rsidRPr="000C5B88">
        <w:rPr>
          <w:color w:val="0D0D0D" w:themeColor="text1" w:themeTint="F2"/>
        </w:rPr>
        <w:t xml:space="preserve"> can safely</w:t>
      </w:r>
      <w:r w:rsidR="00A91A40">
        <w:rPr>
          <w:color w:val="0D0D0D" w:themeColor="text1" w:themeTint="F2"/>
        </w:rPr>
        <w:t xml:space="preserve"> (based on existing data)</w:t>
      </w:r>
      <w:r w:rsidRPr="000C5B88">
        <w:rPr>
          <w:color w:val="0D0D0D" w:themeColor="text1" w:themeTint="F2"/>
        </w:rPr>
        <w:t xml:space="preserve"> and</w:t>
      </w:r>
      <w:r w:rsidR="00021A0D" w:rsidRPr="000C5B88">
        <w:rPr>
          <w:color w:val="0D0D0D" w:themeColor="text1" w:themeTint="F2"/>
        </w:rPr>
        <w:t xml:space="preserve"> </w:t>
      </w:r>
      <w:r w:rsidRPr="000C5B88">
        <w:rPr>
          <w:color w:val="0D0D0D" w:themeColor="text1" w:themeTint="F2"/>
        </w:rPr>
        <w:t xml:space="preserve">reasonably be administered to the patient for the stated diagnosis, </w:t>
      </w:r>
      <w:r w:rsidR="00772F39" w:rsidRPr="000C5B88">
        <w:rPr>
          <w:color w:val="0D0D0D" w:themeColor="text1" w:themeTint="F2"/>
        </w:rPr>
        <w:t>during</w:t>
      </w:r>
      <w:r w:rsidR="005A2A9C" w:rsidRPr="000C5B88">
        <w:rPr>
          <w:color w:val="0D0D0D" w:themeColor="text1" w:themeTint="F2"/>
        </w:rPr>
        <w:t xml:space="preserve"> a </w:t>
      </w:r>
      <w:r w:rsidR="004A40C9" w:rsidRPr="000C5B88">
        <w:rPr>
          <w:color w:val="0D0D0D" w:themeColor="text1" w:themeTint="F2"/>
        </w:rPr>
        <w:t>period of 6</w:t>
      </w:r>
      <w:r w:rsidRPr="000C5B88">
        <w:rPr>
          <w:color w:val="0D0D0D" w:themeColor="text1" w:themeTint="F2"/>
        </w:rPr>
        <w:t xml:space="preserve"> months.</w:t>
      </w:r>
    </w:p>
    <w:p w14:paraId="6BA8B8CE" w14:textId="10851EB2" w:rsidR="00494501" w:rsidRPr="007D5AE9" w:rsidRDefault="00021A0D" w:rsidP="007D5AE9">
      <w:pPr>
        <w:rPr>
          <w:rFonts w:ascii="Times New Roman" w:eastAsia="Times New Roman" w:hAnsi="Times New Roman"/>
          <w:sz w:val="24"/>
          <w:szCs w:val="24"/>
        </w:rPr>
      </w:pPr>
      <w:r w:rsidRPr="00021A0D">
        <w:rPr>
          <w:rFonts w:ascii="Times New Roman" w:eastAsia="Times New Roman" w:hAnsi="Times New Roman"/>
          <w:sz w:val="24"/>
          <w:szCs w:val="24"/>
        </w:rPr>
        <w:t xml:space="preserve">The outcome of the use of the product is under the direct responsibility of the </w:t>
      </w:r>
      <w:r w:rsidR="00372F09">
        <w:rPr>
          <w:rFonts w:ascii="Times New Roman" w:eastAsia="Times New Roman" w:hAnsi="Times New Roman"/>
          <w:sz w:val="24"/>
          <w:szCs w:val="24"/>
        </w:rPr>
        <w:t>physician</w:t>
      </w:r>
      <w:r w:rsidR="001844AA">
        <w:rPr>
          <w:rFonts w:ascii="Times New Roman" w:eastAsia="Times New Roman" w:hAnsi="Times New Roman"/>
          <w:sz w:val="24"/>
          <w:szCs w:val="24"/>
        </w:rPr>
        <w:t>,</w:t>
      </w:r>
      <w:r w:rsidRPr="00021A0D">
        <w:rPr>
          <w:rFonts w:ascii="Times New Roman" w:eastAsia="Times New Roman" w:hAnsi="Times New Roman"/>
          <w:sz w:val="24"/>
          <w:szCs w:val="24"/>
        </w:rPr>
        <w:t xml:space="preserve"> and al</w:t>
      </w:r>
      <w:r>
        <w:rPr>
          <w:rFonts w:ascii="Times New Roman" w:eastAsia="Times New Roman" w:hAnsi="Times New Roman"/>
          <w:sz w:val="24"/>
          <w:szCs w:val="24"/>
        </w:rPr>
        <w:t xml:space="preserve">l relevant national laws </w:t>
      </w:r>
      <w:r w:rsidR="001844AA">
        <w:rPr>
          <w:rFonts w:ascii="Times New Roman" w:eastAsia="Times New Roman" w:hAnsi="Times New Roman"/>
          <w:sz w:val="24"/>
          <w:szCs w:val="24"/>
        </w:rPr>
        <w:t xml:space="preserve">on clinical practice </w:t>
      </w:r>
      <w:r>
        <w:rPr>
          <w:rFonts w:ascii="Times New Roman" w:eastAsia="Times New Roman" w:hAnsi="Times New Roman"/>
          <w:sz w:val="24"/>
          <w:szCs w:val="24"/>
        </w:rPr>
        <w:t>apply.</w:t>
      </w:r>
      <w:r w:rsidR="00DE6718">
        <w:rPr>
          <w:rFonts w:ascii="Times New Roman" w:eastAsia="Times New Roman" w:hAnsi="Times New Roman"/>
          <w:sz w:val="24"/>
          <w:szCs w:val="24"/>
        </w:rPr>
        <w:t xml:space="preserve"> </w:t>
      </w:r>
    </w:p>
    <w:p w14:paraId="40949CE2" w14:textId="77777777" w:rsidR="009A4534" w:rsidRDefault="009A4534" w:rsidP="00351D44">
      <w:pPr>
        <w:pStyle w:val="BodyText"/>
        <w:rPr>
          <w:iCs/>
          <w:color w:val="000000" w:themeColor="text1"/>
        </w:rPr>
      </w:pPr>
    </w:p>
    <w:p w14:paraId="65318722" w14:textId="19103E92" w:rsidR="009A0F80" w:rsidRPr="008018DF" w:rsidRDefault="00870B95" w:rsidP="009A0F80">
      <w:pPr>
        <w:pStyle w:val="Heading1"/>
      </w:pPr>
      <w:bookmarkStart w:id="8" w:name="_Toc46149904"/>
      <w:r>
        <w:lastRenderedPageBreak/>
        <w:t>7</w:t>
      </w:r>
      <w:r w:rsidR="00EE2F7B">
        <w:t>.0</w:t>
      </w:r>
      <w:r w:rsidR="00E95C39">
        <w:t xml:space="preserve"> </w:t>
      </w:r>
      <w:r w:rsidR="009A4534" w:rsidRPr="009A4534">
        <w:t>Application for Compassionate Use of Me</w:t>
      </w:r>
      <w:r w:rsidR="00E2556C">
        <w:t>dicine for a</w:t>
      </w:r>
      <w:r w:rsidR="002E5437">
        <w:t xml:space="preserve"> Group of P</w:t>
      </w:r>
      <w:r w:rsidR="009A4534">
        <w:t>atients</w:t>
      </w:r>
      <w:bookmarkEnd w:id="8"/>
    </w:p>
    <w:p w14:paraId="381A04C2" w14:textId="77777777" w:rsidR="009A0F80" w:rsidRPr="008018DF" w:rsidRDefault="009A0F80" w:rsidP="009A0F80">
      <w:pPr>
        <w:pStyle w:val="Heading1"/>
      </w:pPr>
    </w:p>
    <w:p w14:paraId="09E34ACA" w14:textId="0BEF4077" w:rsidR="001729F2" w:rsidRDefault="00021A0D" w:rsidP="00E2556C">
      <w:pPr>
        <w:pStyle w:val="BodyText"/>
      </w:pPr>
      <w:r>
        <w:t xml:space="preserve">This provision would apply to </w:t>
      </w:r>
      <w:r w:rsidR="00772F39" w:rsidRPr="00772F39">
        <w:t xml:space="preserve">a public health emergency or a </w:t>
      </w:r>
      <w:r w:rsidR="002F28EE" w:rsidRPr="00772F39">
        <w:t xml:space="preserve">public health emergency of international concern/pandemic. </w:t>
      </w:r>
      <w:r w:rsidR="00337FBF">
        <w:t xml:space="preserve">A public health emergency </w:t>
      </w:r>
      <w:r w:rsidR="004A51C6">
        <w:t>may</w:t>
      </w:r>
      <w:r w:rsidR="00337FBF">
        <w:t xml:space="preserve"> </w:t>
      </w:r>
      <w:r w:rsidR="001729F2" w:rsidRPr="00772F39">
        <w:t xml:space="preserve">arise suddenly or </w:t>
      </w:r>
      <w:r w:rsidR="009B2ACF" w:rsidRPr="00772F39">
        <w:t>unexpectedly</w:t>
      </w:r>
      <w:r w:rsidR="009B2ACF">
        <w:t xml:space="preserve"> and</w:t>
      </w:r>
      <w:r w:rsidR="001729F2" w:rsidRPr="00772F39">
        <w:t xml:space="preserve"> require urgent responses to minimize devastation. </w:t>
      </w:r>
      <w:r w:rsidR="004A51C6">
        <w:t>Such emergency scenarios</w:t>
      </w:r>
      <w:r w:rsidR="008A5D47" w:rsidRPr="00772F39">
        <w:t xml:space="preserve"> tend to be time limited</w:t>
      </w:r>
      <w:r w:rsidR="001729F2" w:rsidRPr="00772F39">
        <w:t xml:space="preserve">. </w:t>
      </w:r>
      <w:r w:rsidR="008A5D47" w:rsidRPr="00772F39">
        <w:t>In dealing with a public</w:t>
      </w:r>
      <w:r w:rsidR="00337FBF">
        <w:t xml:space="preserve"> health </w:t>
      </w:r>
      <w:r w:rsidR="008A5D47" w:rsidRPr="00772F39">
        <w:t xml:space="preserve">emergency, authorities </w:t>
      </w:r>
      <w:r w:rsidR="004A51C6">
        <w:t xml:space="preserve">must respond with agile and decisive </w:t>
      </w:r>
      <w:r w:rsidR="008A5D47" w:rsidRPr="00772F39">
        <w:t>measures.</w:t>
      </w:r>
    </w:p>
    <w:p w14:paraId="680A31B3" w14:textId="77777777" w:rsidR="00021A0D" w:rsidRPr="00772F39" w:rsidRDefault="00021A0D" w:rsidP="00E2556C">
      <w:pPr>
        <w:pStyle w:val="BodyText"/>
      </w:pPr>
    </w:p>
    <w:p w14:paraId="39A7A006" w14:textId="3735E75A" w:rsidR="00F930D9" w:rsidRPr="00772F39" w:rsidRDefault="008A5D47" w:rsidP="00021A0D">
      <w:pPr>
        <w:pStyle w:val="BodyText"/>
      </w:pPr>
      <w:r w:rsidRPr="00772F39">
        <w:t>The key difference between</w:t>
      </w:r>
      <w:r w:rsidR="00021A0D">
        <w:t xml:space="preserve"> a CUA</w:t>
      </w:r>
      <w:r w:rsidRPr="00772F39">
        <w:t xml:space="preserve"> for and individual patien</w:t>
      </w:r>
      <w:r w:rsidR="00D9061E" w:rsidRPr="00772F39">
        <w:t xml:space="preserve">t and a group of patients is </w:t>
      </w:r>
      <w:r w:rsidRPr="00772F39">
        <w:t xml:space="preserve">the </w:t>
      </w:r>
      <w:r w:rsidR="00DE6718">
        <w:t>focus of the</w:t>
      </w:r>
      <w:r w:rsidR="00337FBF">
        <w:t xml:space="preserve"> </w:t>
      </w:r>
      <w:r w:rsidRPr="00772F39">
        <w:t>benefit-risk analysis.</w:t>
      </w:r>
      <w:r w:rsidR="00021A0D">
        <w:t xml:space="preserve"> </w:t>
      </w:r>
      <w:r w:rsidR="00D9061E" w:rsidRPr="00772F39">
        <w:t>I</w:t>
      </w:r>
      <w:r w:rsidR="00F930D9" w:rsidRPr="00772F39">
        <w:t xml:space="preserve">n general, </w:t>
      </w:r>
      <w:r w:rsidR="00D9061E" w:rsidRPr="00772F39">
        <w:t>the review of</w:t>
      </w:r>
      <w:r w:rsidR="00F930D9" w:rsidRPr="00772F39">
        <w:t xml:space="preserve"> a</w:t>
      </w:r>
      <w:r w:rsidR="00D9061E" w:rsidRPr="00772F39">
        <w:t xml:space="preserve"> group compassionate us</w:t>
      </w:r>
      <w:r w:rsidR="00F930D9" w:rsidRPr="00772F39">
        <w:t>e application</w:t>
      </w:r>
      <w:r w:rsidR="007D5AE9">
        <w:t xml:space="preserve"> </w:t>
      </w:r>
      <w:r w:rsidR="00562872">
        <w:t>considers</w:t>
      </w:r>
      <w:r w:rsidR="004A51C6">
        <w:t xml:space="preserve"> the </w:t>
      </w:r>
      <w:r w:rsidR="00562872">
        <w:t xml:space="preserve">“high-level” view of </w:t>
      </w:r>
      <w:r w:rsidR="004A51C6">
        <w:t>potential risks and benefits for a population/group of patients</w:t>
      </w:r>
      <w:r w:rsidR="00562872">
        <w:t xml:space="preserve">, while remaining mindful that all groups are made up of individual persons with specific needs.  </w:t>
      </w:r>
    </w:p>
    <w:p w14:paraId="24E915F9" w14:textId="77777777" w:rsidR="007D5AE9" w:rsidRDefault="007D5AE9" w:rsidP="00DE6718">
      <w:pPr>
        <w:pStyle w:val="BodyText"/>
      </w:pPr>
    </w:p>
    <w:p w14:paraId="562364F2" w14:textId="093DDA37" w:rsidR="005A2A9C" w:rsidRDefault="00DE6718" w:rsidP="00DE6718">
      <w:pPr>
        <w:pStyle w:val="BodyText"/>
      </w:pPr>
      <w:r>
        <w:t xml:space="preserve">For group CUAs, the </w:t>
      </w:r>
      <w:r w:rsidR="00337FBF">
        <w:t>applicant is u</w:t>
      </w:r>
      <w:r w:rsidR="000C5B88">
        <w:t>sually the Minister for Health and not a practicing physician, therefore s</w:t>
      </w:r>
      <w:r>
        <w:t xml:space="preserve">ection A of the CUA form (Appendix 1), should include the name and details of the responsible physician. </w:t>
      </w:r>
      <w:r w:rsidR="00337FBF">
        <w:t>To facilitate NRA and EC assessment of group CUAs, additional information on quality, safety and efficacy will be necessary. The NRA and EC will need to agree on the information to be submitted by the applicant.</w:t>
      </w:r>
    </w:p>
    <w:p w14:paraId="47987E28" w14:textId="1555173E" w:rsidR="00525D8B" w:rsidRPr="00772F39" w:rsidRDefault="00021A0D" w:rsidP="00E2556C">
      <w:pPr>
        <w:pStyle w:val="BodyText"/>
      </w:pPr>
      <w:r>
        <w:t xml:space="preserve">Necessary information </w:t>
      </w:r>
      <w:r w:rsidR="00525D8B" w:rsidRPr="00772F39">
        <w:t xml:space="preserve">may differ depending on several factors including the severity of the public health emergency, </w:t>
      </w:r>
      <w:r w:rsidR="00F930D9" w:rsidRPr="00772F39">
        <w:t>patient</w:t>
      </w:r>
      <w:r w:rsidR="00525D8B" w:rsidRPr="00772F39">
        <w:t xml:space="preserve"> prognosis, rate of spread, potential efficacy and side effects of the IMP, </w:t>
      </w:r>
      <w:r w:rsidR="00F930D9" w:rsidRPr="00772F39">
        <w:t xml:space="preserve">and any other information </w:t>
      </w:r>
      <w:r w:rsidR="00525D8B" w:rsidRPr="00772F39">
        <w:t>which</w:t>
      </w:r>
      <w:r w:rsidR="00E46688" w:rsidRPr="00772F39">
        <w:t xml:space="preserve"> will</w:t>
      </w:r>
      <w:r w:rsidR="00525D8B" w:rsidRPr="00772F39">
        <w:t xml:space="preserve"> collectively inform </w:t>
      </w:r>
      <w:r w:rsidR="00E46688" w:rsidRPr="00772F39">
        <w:t xml:space="preserve">a </w:t>
      </w:r>
      <w:r w:rsidR="001844AA">
        <w:t xml:space="preserve">risk-benefit assessment and </w:t>
      </w:r>
      <w:r w:rsidR="00E46688" w:rsidRPr="00772F39">
        <w:t>decision</w:t>
      </w:r>
      <w:r w:rsidR="001844AA">
        <w:t xml:space="preserve">.  </w:t>
      </w:r>
    </w:p>
    <w:p w14:paraId="3386D07F" w14:textId="0A8962EE" w:rsidR="00772F39" w:rsidRDefault="00772F39" w:rsidP="00021A0D">
      <w:pPr>
        <w:pStyle w:val="Heading1"/>
        <w:ind w:left="0" w:firstLine="0"/>
      </w:pPr>
    </w:p>
    <w:p w14:paraId="3986F1CA" w14:textId="170DF250" w:rsidR="00021A0D" w:rsidRDefault="000C5B88" w:rsidP="00021A0D">
      <w:pPr>
        <w:pStyle w:val="BodyText"/>
      </w:pPr>
      <w:r>
        <w:t>For a group</w:t>
      </w:r>
      <w:r w:rsidR="00021A0D">
        <w:t xml:space="preserve"> </w:t>
      </w:r>
      <w:r w:rsidR="00337FBF">
        <w:t>CUA</w:t>
      </w:r>
      <w:r w:rsidR="00D33B2F">
        <w:t xml:space="preserve">, the applicant </w:t>
      </w:r>
      <w:r w:rsidR="00021A0D">
        <w:t>submits a letter of intent t</w:t>
      </w:r>
      <w:r>
        <w:t>o the NRA together with the application form</w:t>
      </w:r>
      <w:r w:rsidR="00021A0D">
        <w:t>, which should contain the following information:</w:t>
      </w:r>
    </w:p>
    <w:p w14:paraId="0D0C461E" w14:textId="3DD38193" w:rsidR="00D71B34" w:rsidRPr="00503A64" w:rsidRDefault="00D71B34" w:rsidP="00D71B34">
      <w:pPr>
        <w:pStyle w:val="BodyText"/>
        <w:numPr>
          <w:ilvl w:val="0"/>
          <w:numId w:val="8"/>
        </w:numPr>
      </w:pPr>
      <w:r w:rsidRPr="00F04493">
        <w:rPr>
          <w:color w:val="0D0D0D" w:themeColor="text1" w:themeTint="F2"/>
        </w:rPr>
        <w:t xml:space="preserve">Name, </w:t>
      </w:r>
      <w:r w:rsidR="009B2ACF" w:rsidRPr="00F04493">
        <w:rPr>
          <w:color w:val="0D0D0D" w:themeColor="text1" w:themeTint="F2"/>
        </w:rPr>
        <w:t>designation and</w:t>
      </w:r>
      <w:r w:rsidRPr="00F04493">
        <w:rPr>
          <w:color w:val="0D0D0D" w:themeColor="text1" w:themeTint="F2"/>
        </w:rPr>
        <w:t xml:space="preserve"> contact details of applicant</w:t>
      </w:r>
    </w:p>
    <w:p w14:paraId="7E960F18" w14:textId="188F8596" w:rsidR="00D71B34" w:rsidRDefault="00D71B34" w:rsidP="00D71B34">
      <w:pPr>
        <w:pStyle w:val="BodyText"/>
        <w:numPr>
          <w:ilvl w:val="0"/>
          <w:numId w:val="8"/>
        </w:numPr>
      </w:pPr>
      <w:r>
        <w:t>Evidence that the sponsor is in agreement with the use of the IMP as being applied for</w:t>
      </w:r>
    </w:p>
    <w:p w14:paraId="27425E8E" w14:textId="6C4B31C9" w:rsidR="00D71B34" w:rsidRDefault="00D71B34" w:rsidP="00D71B34">
      <w:pPr>
        <w:pStyle w:val="BodyText"/>
        <w:numPr>
          <w:ilvl w:val="0"/>
          <w:numId w:val="8"/>
        </w:numPr>
      </w:pPr>
      <w:r>
        <w:t>Name (INN, study code if applicable), dosage form, manufacturer details and country of origin of the IMP/Therapeutic intervention</w:t>
      </w:r>
    </w:p>
    <w:p w14:paraId="1BC1D6A5" w14:textId="6810B3A4" w:rsidR="00D71B34" w:rsidRDefault="00D71B34" w:rsidP="00D71B34">
      <w:pPr>
        <w:pStyle w:val="BodyText"/>
        <w:numPr>
          <w:ilvl w:val="0"/>
          <w:numId w:val="8"/>
        </w:numPr>
      </w:pPr>
      <w:r>
        <w:t xml:space="preserve">Quality, Safety and Efficacy information as agreed (during NRA and EC consultations) </w:t>
      </w:r>
    </w:p>
    <w:p w14:paraId="38323119" w14:textId="02926744" w:rsidR="00D71B34" w:rsidRDefault="00D71B34" w:rsidP="00D71B34">
      <w:pPr>
        <w:pStyle w:val="BodyText"/>
        <w:numPr>
          <w:ilvl w:val="0"/>
          <w:numId w:val="8"/>
        </w:numPr>
      </w:pPr>
      <w:r>
        <w:t>Quantity to be imported</w:t>
      </w:r>
      <w:r w:rsidR="00A00DFE">
        <w:t xml:space="preserve">, </w:t>
      </w:r>
      <w:r>
        <w:t>dose</w:t>
      </w:r>
      <w:r w:rsidR="00A00DFE">
        <w:t xml:space="preserve"> to be </w:t>
      </w:r>
      <w:r w:rsidR="009B2ACF">
        <w:t>administered and</w:t>
      </w:r>
      <w:r>
        <w:t xml:space="preserve"> duration</w:t>
      </w:r>
    </w:p>
    <w:p w14:paraId="7023148F" w14:textId="5F68D6BC" w:rsidR="00D71B34" w:rsidRDefault="00D71B34" w:rsidP="000C5B88">
      <w:pPr>
        <w:pStyle w:val="BodyText"/>
        <w:numPr>
          <w:ilvl w:val="0"/>
          <w:numId w:val="8"/>
        </w:numPr>
      </w:pPr>
      <w:r>
        <w:t>Estimated date of import</w:t>
      </w:r>
    </w:p>
    <w:p w14:paraId="08F69AB1" w14:textId="65EE4849" w:rsidR="00021A0D" w:rsidRDefault="00021A0D" w:rsidP="00036416">
      <w:pPr>
        <w:pStyle w:val="BodyText"/>
        <w:numPr>
          <w:ilvl w:val="0"/>
          <w:numId w:val="8"/>
        </w:numPr>
      </w:pPr>
      <w:r>
        <w:t>Cohort of patients description, number, gender distribution, and other relevant details</w:t>
      </w:r>
    </w:p>
    <w:p w14:paraId="779936A3" w14:textId="4B5D1358" w:rsidR="00021A0D" w:rsidRDefault="00021A0D" w:rsidP="00036416">
      <w:pPr>
        <w:pStyle w:val="BodyText"/>
        <w:numPr>
          <w:ilvl w:val="0"/>
          <w:numId w:val="8"/>
        </w:numPr>
      </w:pPr>
      <w:r>
        <w:t xml:space="preserve">Diagnosis of </w:t>
      </w:r>
      <w:r w:rsidR="009B2ACF">
        <w:t>the condition</w:t>
      </w:r>
      <w:r w:rsidR="0079506C">
        <w:t>, with due consideration of the range of disease (mild to severe)</w:t>
      </w:r>
    </w:p>
    <w:p w14:paraId="18BE838F" w14:textId="2E4A8B0C" w:rsidR="00021A0D" w:rsidRDefault="00021A0D" w:rsidP="00036416">
      <w:pPr>
        <w:pStyle w:val="BodyText"/>
        <w:numPr>
          <w:ilvl w:val="0"/>
          <w:numId w:val="8"/>
        </w:numPr>
      </w:pPr>
      <w:r>
        <w:t>Justification for the application</w:t>
      </w:r>
      <w:r w:rsidR="0079506C">
        <w:t xml:space="preserve"> appropriate to the spectrum of use envisioned.</w:t>
      </w:r>
    </w:p>
    <w:p w14:paraId="5FC9D5DF" w14:textId="75B718C2" w:rsidR="00021A0D" w:rsidRPr="00086852" w:rsidRDefault="00021A0D" w:rsidP="00036416">
      <w:pPr>
        <w:pStyle w:val="BodyText"/>
        <w:numPr>
          <w:ilvl w:val="0"/>
          <w:numId w:val="8"/>
        </w:numPr>
      </w:pPr>
      <w:r w:rsidRPr="00086852">
        <w:t>Evidence that the patient</w:t>
      </w:r>
      <w:r w:rsidR="00D33B2F" w:rsidRPr="00086852">
        <w:t>s are aware of and have</w:t>
      </w:r>
      <w:r w:rsidRPr="00086852">
        <w:t xml:space="preserve"> agreed to use the IMP </w:t>
      </w:r>
    </w:p>
    <w:p w14:paraId="7B311D6A" w14:textId="703A4B69" w:rsidR="00021A0D" w:rsidRDefault="00E7116F" w:rsidP="00036416">
      <w:pPr>
        <w:pStyle w:val="BodyText"/>
        <w:numPr>
          <w:ilvl w:val="0"/>
          <w:numId w:val="8"/>
        </w:numPr>
      </w:pPr>
      <w:r w:rsidRPr="00036416">
        <w:t>The applicant/</w:t>
      </w:r>
      <w:r w:rsidR="00D71B34">
        <w:t>physician</w:t>
      </w:r>
      <w:r w:rsidRPr="00036416">
        <w:t xml:space="preserve"> responsible for</w:t>
      </w:r>
      <w:r w:rsidR="00036416">
        <w:t xml:space="preserve"> administering the</w:t>
      </w:r>
      <w:r w:rsidRPr="00036416">
        <w:t xml:space="preserve"> therapy</w:t>
      </w:r>
      <w:r w:rsidR="00036416">
        <w:t xml:space="preserve"> to the patient</w:t>
      </w:r>
      <w:r w:rsidR="00372F09">
        <w:t>s</w:t>
      </w:r>
      <w:r w:rsidR="00036416">
        <w:t>,</w:t>
      </w:r>
      <w:r w:rsidRPr="00036416">
        <w:t xml:space="preserve"> c</w:t>
      </w:r>
      <w:r w:rsidR="00021A0D" w:rsidRPr="00E7116F">
        <w:t>ommit</w:t>
      </w:r>
      <w:r w:rsidRPr="00036416">
        <w:t>s</w:t>
      </w:r>
      <w:r w:rsidR="00021A0D" w:rsidRPr="00E7116F">
        <w:t xml:space="preserve"> </w:t>
      </w:r>
      <w:r w:rsidR="00021A0D">
        <w:t>to inform the NRA</w:t>
      </w:r>
      <w:r w:rsidR="00F20D47">
        <w:t xml:space="preserve"> and </w:t>
      </w:r>
      <w:r w:rsidR="005A50FE">
        <w:t>EC of</w:t>
      </w:r>
      <w:r w:rsidR="00021A0D">
        <w:t xml:space="preserve"> the outcome of therapy</w:t>
      </w:r>
    </w:p>
    <w:p w14:paraId="26425AC7" w14:textId="15899462" w:rsidR="00021A0D" w:rsidRDefault="00021A0D" w:rsidP="00F20D47">
      <w:pPr>
        <w:pStyle w:val="BodyText"/>
        <w:ind w:left="460"/>
      </w:pPr>
      <w:r>
        <w:t>•</w:t>
      </w:r>
      <w:r>
        <w:tab/>
      </w:r>
      <w:r w:rsidR="00F20D47">
        <w:t xml:space="preserve">  </w:t>
      </w:r>
      <w:r>
        <w:t>Any other relevant information</w:t>
      </w:r>
    </w:p>
    <w:p w14:paraId="5AA15417" w14:textId="77777777" w:rsidR="00021A0D" w:rsidRDefault="00021A0D" w:rsidP="00021A0D">
      <w:pPr>
        <w:pStyle w:val="BodyText"/>
      </w:pPr>
    </w:p>
    <w:p w14:paraId="7A23E15A" w14:textId="526B19D6" w:rsidR="00021A0D" w:rsidRDefault="00021A0D" w:rsidP="00021A0D">
      <w:pPr>
        <w:pStyle w:val="BodyText"/>
      </w:pPr>
      <w:r>
        <w:t xml:space="preserve">The NRA should confirm that the quality, safety and efficacy information available justifies the use of the IMP </w:t>
      </w:r>
      <w:r w:rsidR="00F20D47">
        <w:t>for the group of patients</w:t>
      </w:r>
      <w:r>
        <w:t>.</w:t>
      </w:r>
    </w:p>
    <w:p w14:paraId="4D892238" w14:textId="77777777" w:rsidR="00021A0D" w:rsidRDefault="00021A0D" w:rsidP="00021A0D">
      <w:pPr>
        <w:pStyle w:val="BodyText"/>
      </w:pPr>
    </w:p>
    <w:p w14:paraId="20F2A72C" w14:textId="0A278036" w:rsidR="00021A0D" w:rsidRDefault="00021A0D" w:rsidP="00021A0D">
      <w:pPr>
        <w:pStyle w:val="BodyText"/>
      </w:pPr>
      <w:r>
        <w:lastRenderedPageBreak/>
        <w:t>The application for compassionate use should include information require</w:t>
      </w:r>
      <w:r w:rsidR="00F20D47">
        <w:t xml:space="preserve">d for EC assessment. The applicant should provide </w:t>
      </w:r>
      <w:r>
        <w:t>the following:</w:t>
      </w:r>
    </w:p>
    <w:p w14:paraId="6BBC76E8" w14:textId="26646AE2" w:rsidR="00021A0D" w:rsidRPr="00036416" w:rsidRDefault="00F20D47" w:rsidP="000C5B88">
      <w:pPr>
        <w:pStyle w:val="BodyText"/>
        <w:ind w:left="720"/>
      </w:pPr>
      <w:r w:rsidRPr="00036416">
        <w:t>•</w:t>
      </w:r>
      <w:r w:rsidR="00021A0D" w:rsidRPr="00036416">
        <w:t xml:space="preserve">The proposed daily dose, route, and frequency of administration, duration of planned treatment, criteria for discontinuation of treatment, and planned </w:t>
      </w:r>
      <w:r w:rsidR="00D71B34">
        <w:t>monitoring</w:t>
      </w:r>
      <w:r w:rsidR="00021A0D" w:rsidRPr="00036416">
        <w:t xml:space="preserve"> for adverse events;</w:t>
      </w:r>
    </w:p>
    <w:p w14:paraId="382A9512" w14:textId="3CE6FC85" w:rsidR="00021A0D" w:rsidRPr="00036416" w:rsidRDefault="00F20D47" w:rsidP="000C5B88">
      <w:pPr>
        <w:pStyle w:val="BodyText"/>
        <w:ind w:left="720"/>
      </w:pPr>
      <w:r w:rsidRPr="00036416">
        <w:t>•The key details of the patients’</w:t>
      </w:r>
      <w:r w:rsidR="0079506C">
        <w:t xml:space="preserve"> collective</w:t>
      </w:r>
      <w:r w:rsidRPr="00036416">
        <w:t xml:space="preserve"> histor</w:t>
      </w:r>
      <w:r w:rsidR="0079506C">
        <w:t>ies</w:t>
      </w:r>
      <w:r w:rsidR="00021A0D" w:rsidRPr="00036416">
        <w:t>, including diagnosis and summary of prior therapy (including response to such therapy), as we</w:t>
      </w:r>
      <w:r w:rsidRPr="00036416">
        <w:t xml:space="preserve">ll as information regarding </w:t>
      </w:r>
      <w:r w:rsidR="0079506C">
        <w:t xml:space="preserve">the distribution of </w:t>
      </w:r>
      <w:r w:rsidR="00021A0D" w:rsidRPr="00036416">
        <w:t>patient</w:t>
      </w:r>
      <w:r w:rsidR="0079506C">
        <w:t>s’</w:t>
      </w:r>
      <w:r w:rsidR="00021A0D" w:rsidRPr="00036416">
        <w:t xml:space="preserve"> relevant clinical characteristics (such as comorbid conditions and concomitant medications) that are necessary to assess the potential</w:t>
      </w:r>
      <w:r w:rsidR="007D5AE9">
        <w:t xml:space="preserve"> for increased risks </w:t>
      </w:r>
      <w:r w:rsidR="0079506C">
        <w:t xml:space="preserve">of the group </w:t>
      </w:r>
      <w:r w:rsidR="007D5AE9">
        <w:t>during therapy</w:t>
      </w:r>
      <w:r w:rsidR="00021A0D" w:rsidRPr="00036416">
        <w:t>;</w:t>
      </w:r>
    </w:p>
    <w:p w14:paraId="54A5B7DE" w14:textId="75653A16" w:rsidR="00021A0D" w:rsidRPr="00036416" w:rsidRDefault="00F20D47" w:rsidP="000C5B88">
      <w:pPr>
        <w:pStyle w:val="BodyText"/>
        <w:ind w:left="720"/>
      </w:pPr>
      <w:r w:rsidRPr="00036416">
        <w:t>•</w:t>
      </w:r>
      <w:r w:rsidR="00021A0D" w:rsidRPr="00036416">
        <w:t>A summary of known risks of the IMP/</w:t>
      </w:r>
      <w:r w:rsidR="00D33B2F" w:rsidRPr="00036416">
        <w:t xml:space="preserve"> un-registered novel </w:t>
      </w:r>
      <w:r w:rsidR="00A00DFE">
        <w:t>product</w:t>
      </w:r>
    </w:p>
    <w:p w14:paraId="42B8AFFE" w14:textId="390D2532" w:rsidR="004A40C9" w:rsidRDefault="00F20D47" w:rsidP="000C5B88">
      <w:pPr>
        <w:pStyle w:val="BodyText"/>
        <w:ind w:left="720"/>
      </w:pPr>
      <w:r w:rsidRPr="00036416">
        <w:t>•</w:t>
      </w:r>
      <w:r w:rsidR="00021A0D" w:rsidRPr="00036416">
        <w:t xml:space="preserve">For </w:t>
      </w:r>
      <w:r w:rsidR="00D33B2F" w:rsidRPr="00036416">
        <w:t>pediatric patients, evidence of</w:t>
      </w:r>
      <w:r w:rsidR="00021A0D" w:rsidRPr="00036416">
        <w:t xml:space="preserve"> age-appropriate assent from the child, and written permission from the parent</w:t>
      </w:r>
      <w:r w:rsidR="0079506C">
        <w:t>s</w:t>
      </w:r>
      <w:r w:rsidR="00021A0D" w:rsidRPr="00036416">
        <w:t xml:space="preserve"> or guardian</w:t>
      </w:r>
      <w:r w:rsidR="0079506C">
        <w:t>s</w:t>
      </w:r>
      <w:r w:rsidR="00021A0D" w:rsidRPr="00036416">
        <w:t xml:space="preserve"> should be submitted.</w:t>
      </w:r>
    </w:p>
    <w:p w14:paraId="05E48C95" w14:textId="77777777" w:rsidR="008C5DE6" w:rsidRDefault="008C5DE6" w:rsidP="00E66E77">
      <w:pPr>
        <w:pStyle w:val="BodyText"/>
        <w:ind w:left="0"/>
        <w:rPr>
          <w:b/>
          <w:color w:val="FF0000"/>
        </w:rPr>
      </w:pPr>
    </w:p>
    <w:p w14:paraId="20D808E6" w14:textId="04724420" w:rsidR="004A40C9" w:rsidRPr="00E66E77" w:rsidRDefault="0010190E" w:rsidP="000C5B88">
      <w:pPr>
        <w:pStyle w:val="BodyText"/>
        <w:rPr>
          <w:b/>
          <w:color w:val="C00000"/>
        </w:rPr>
      </w:pPr>
      <w:r>
        <w:rPr>
          <w:b/>
        </w:rPr>
        <w:t>I</w:t>
      </w:r>
      <w:r w:rsidRPr="0010190E">
        <w:rPr>
          <w:b/>
        </w:rPr>
        <w:t>t should be clear that a careful benefit/risk assessment of all options has been made in recommending compassionate access</w:t>
      </w:r>
      <w:r>
        <w:rPr>
          <w:b/>
        </w:rPr>
        <w:t xml:space="preserve"> for the group</w:t>
      </w:r>
      <w:r w:rsidRPr="0010190E">
        <w:rPr>
          <w:b/>
        </w:rPr>
        <w:t xml:space="preserve">.  </w:t>
      </w:r>
      <w:r w:rsidR="008C5DE6" w:rsidRPr="00E66E77">
        <w:rPr>
          <w:b/>
        </w:rPr>
        <w:t>The information provided should</w:t>
      </w:r>
      <w:r>
        <w:rPr>
          <w:b/>
        </w:rPr>
        <w:t xml:space="preserve"> justify </w:t>
      </w:r>
      <w:r w:rsidR="008C5DE6" w:rsidRPr="00E66E77">
        <w:rPr>
          <w:b/>
        </w:rPr>
        <w:t>why compassionate access to the IMP/</w:t>
      </w:r>
      <w:r w:rsidR="00A00DFE">
        <w:rPr>
          <w:b/>
        </w:rPr>
        <w:t>un-registered novel medicine</w:t>
      </w:r>
      <w:r w:rsidR="008C5DE6" w:rsidRPr="00E66E77">
        <w:rPr>
          <w:b/>
        </w:rPr>
        <w:t xml:space="preserve"> for the patient group is the only appropriate route in the current public health scenario.  </w:t>
      </w:r>
    </w:p>
    <w:p w14:paraId="2BCB33BA" w14:textId="77777777" w:rsidR="00021A0D" w:rsidRPr="00E66E77" w:rsidRDefault="00021A0D" w:rsidP="00021A0D">
      <w:pPr>
        <w:pStyle w:val="BodyText"/>
        <w:rPr>
          <w:color w:val="C00000"/>
        </w:rPr>
      </w:pPr>
    </w:p>
    <w:p w14:paraId="2D8C42F5" w14:textId="16FC8C94" w:rsidR="00021A0D" w:rsidRDefault="00021A0D" w:rsidP="00021A0D">
      <w:pPr>
        <w:pStyle w:val="BodyText"/>
      </w:pPr>
      <w:r>
        <w:t xml:space="preserve">The EC should confirm that the primary purpose of the </w:t>
      </w:r>
      <w:r w:rsidR="00F20D47">
        <w:t xml:space="preserve">group </w:t>
      </w:r>
      <w:r>
        <w:t>CUA is to diagnos</w:t>
      </w:r>
      <w:r w:rsidR="00F20D47">
        <w:t>e, monitor, or treat the patients’</w:t>
      </w:r>
      <w:r>
        <w:t xml:space="preserve"> disease or condition</w:t>
      </w:r>
      <w:r w:rsidR="008C5DE6">
        <w:t>,</w:t>
      </w:r>
      <w:r>
        <w:t xml:space="preserve"> rather than to generate scientific information </w:t>
      </w:r>
      <w:r w:rsidR="008C5DE6">
        <w:t xml:space="preserve">on </w:t>
      </w:r>
      <w:r>
        <w:t xml:space="preserve">the safety and </w:t>
      </w:r>
      <w:r w:rsidR="007D5AE9">
        <w:t>efficacy</w:t>
      </w:r>
      <w:r>
        <w:t xml:space="preserve">. </w:t>
      </w:r>
    </w:p>
    <w:p w14:paraId="3EEA2C9F" w14:textId="77777777" w:rsidR="00021A0D" w:rsidRDefault="00021A0D" w:rsidP="000C5B88">
      <w:pPr>
        <w:pStyle w:val="BodyText"/>
        <w:ind w:left="0"/>
      </w:pPr>
    </w:p>
    <w:p w14:paraId="38BE9DD6" w14:textId="0E2A4231" w:rsidR="00021A0D" w:rsidRDefault="00021A0D" w:rsidP="00021A0D">
      <w:pPr>
        <w:pStyle w:val="BodyText"/>
      </w:pPr>
      <w:r>
        <w:t>In approving the use of the IMP</w:t>
      </w:r>
      <w:r w:rsidR="00A00DFE">
        <w:t>/</w:t>
      </w:r>
      <w:r>
        <w:t xml:space="preserve"> unregistered medicinal p</w:t>
      </w:r>
      <w:r w:rsidR="00F20D47">
        <w:t>roduct for use by a group of patients,</w:t>
      </w:r>
      <w:r>
        <w:t xml:space="preserve"> NRAs and ECs should clearly state in the approval letter the conditions and context of the permission in accordance with national laws. Conditions should include but are not limited to the following:</w:t>
      </w:r>
    </w:p>
    <w:p w14:paraId="03B9FEED" w14:textId="5FBEA705" w:rsidR="00021A0D" w:rsidRPr="00A91A40" w:rsidRDefault="00021A0D" w:rsidP="000C5B88">
      <w:pPr>
        <w:pStyle w:val="BodyText"/>
        <w:numPr>
          <w:ilvl w:val="0"/>
          <w:numId w:val="27"/>
        </w:numPr>
        <w:rPr>
          <w:rFonts w:cs="Times New Roman"/>
          <w:szCs w:val="22"/>
        </w:rPr>
      </w:pPr>
      <w:r w:rsidRPr="00A91A40">
        <w:rPr>
          <w:rFonts w:cs="Times New Roman"/>
          <w:szCs w:val="22"/>
        </w:rPr>
        <w:t xml:space="preserve">The approval is for the use of the IMP/un-registered </w:t>
      </w:r>
      <w:r w:rsidR="00A00DFE">
        <w:rPr>
          <w:rFonts w:cs="Times New Roman"/>
          <w:szCs w:val="22"/>
        </w:rPr>
        <w:t>novel product</w:t>
      </w:r>
      <w:r w:rsidRPr="00A91A40">
        <w:rPr>
          <w:rFonts w:cs="Times New Roman"/>
          <w:szCs w:val="22"/>
        </w:rPr>
        <w:t xml:space="preserve"> within the context </w:t>
      </w:r>
      <w:r w:rsidR="00F20D47" w:rsidRPr="00A91A40">
        <w:rPr>
          <w:rFonts w:cs="Times New Roman"/>
          <w:szCs w:val="22"/>
        </w:rPr>
        <w:t>requested for and for the described group of patients only, unless otherwise justified.</w:t>
      </w:r>
    </w:p>
    <w:p w14:paraId="117577F5" w14:textId="22D33A72" w:rsidR="00021A0D" w:rsidRPr="00A91A40" w:rsidRDefault="00021A0D" w:rsidP="000C5B88">
      <w:pPr>
        <w:pStyle w:val="BodyText"/>
        <w:numPr>
          <w:ilvl w:val="0"/>
          <w:numId w:val="27"/>
        </w:numPr>
        <w:rPr>
          <w:rFonts w:cs="Times New Roman"/>
          <w:color w:val="0D0D0D" w:themeColor="text1" w:themeTint="F2"/>
          <w:szCs w:val="22"/>
        </w:rPr>
      </w:pPr>
      <w:r w:rsidRPr="00A91A40">
        <w:rPr>
          <w:rFonts w:cs="Times New Roman"/>
          <w:color w:val="0D0D0D" w:themeColor="text1" w:themeTint="F2"/>
          <w:szCs w:val="22"/>
        </w:rPr>
        <w:t xml:space="preserve">The outcome of the use is the responsibility of the </w:t>
      </w:r>
      <w:r w:rsidR="00372F09">
        <w:rPr>
          <w:rFonts w:cs="Times New Roman"/>
          <w:color w:val="0D0D0D" w:themeColor="text1" w:themeTint="F2"/>
          <w:szCs w:val="22"/>
        </w:rPr>
        <w:t>physician</w:t>
      </w:r>
      <w:r w:rsidR="008C5DE6" w:rsidRPr="00A91A40">
        <w:rPr>
          <w:rFonts w:cs="Times New Roman"/>
          <w:color w:val="0D0D0D" w:themeColor="text1" w:themeTint="F2"/>
          <w:szCs w:val="22"/>
        </w:rPr>
        <w:t xml:space="preserve"> or public health official</w:t>
      </w:r>
      <w:r w:rsidR="00F20D47" w:rsidRPr="00A91A40">
        <w:rPr>
          <w:rFonts w:cs="Times New Roman"/>
          <w:color w:val="0D0D0D" w:themeColor="text1" w:themeTint="F2"/>
          <w:szCs w:val="22"/>
        </w:rPr>
        <w:t xml:space="preserve"> </w:t>
      </w:r>
      <w:r w:rsidR="007D5AE9">
        <w:rPr>
          <w:rFonts w:cs="Times New Roman"/>
          <w:color w:val="0D0D0D" w:themeColor="text1" w:themeTint="F2"/>
          <w:szCs w:val="22"/>
        </w:rPr>
        <w:t xml:space="preserve">responsible for and </w:t>
      </w:r>
      <w:r w:rsidR="00F20D47" w:rsidRPr="00A91A40">
        <w:rPr>
          <w:rFonts w:cs="Times New Roman"/>
          <w:color w:val="0D0D0D" w:themeColor="text1" w:themeTint="F2"/>
          <w:szCs w:val="22"/>
        </w:rPr>
        <w:t xml:space="preserve">supervising the use of the IMP. </w:t>
      </w:r>
    </w:p>
    <w:p w14:paraId="6287ABC6" w14:textId="4ECE18AC" w:rsidR="00021A0D" w:rsidRPr="00A91A40" w:rsidRDefault="00021A0D" w:rsidP="000C5B88">
      <w:pPr>
        <w:pStyle w:val="BodyText"/>
        <w:numPr>
          <w:ilvl w:val="0"/>
          <w:numId w:val="27"/>
        </w:numPr>
        <w:rPr>
          <w:rFonts w:cs="Times New Roman"/>
          <w:color w:val="0D0D0D" w:themeColor="text1" w:themeTint="F2"/>
          <w:szCs w:val="22"/>
        </w:rPr>
      </w:pPr>
      <w:r w:rsidRPr="00A91A40">
        <w:rPr>
          <w:rFonts w:cs="Times New Roman"/>
          <w:color w:val="0D0D0D" w:themeColor="text1" w:themeTint="F2"/>
          <w:szCs w:val="22"/>
        </w:rPr>
        <w:t xml:space="preserve">The </w:t>
      </w:r>
      <w:r w:rsidR="00A91A40" w:rsidRPr="00A91A40">
        <w:rPr>
          <w:rFonts w:cs="Times New Roman"/>
          <w:color w:val="0D0D0D" w:themeColor="text1" w:themeTint="F2"/>
          <w:szCs w:val="22"/>
        </w:rPr>
        <w:t xml:space="preserve">physician </w:t>
      </w:r>
      <w:r w:rsidR="00A42101" w:rsidRPr="00A91A40">
        <w:rPr>
          <w:rFonts w:cs="Times New Roman"/>
          <w:color w:val="0D0D0D" w:themeColor="text1" w:themeTint="F2"/>
          <w:szCs w:val="22"/>
        </w:rPr>
        <w:t>or public health official</w:t>
      </w:r>
      <w:r w:rsidR="008C5DE6" w:rsidRPr="00A91A40">
        <w:rPr>
          <w:rFonts w:cs="Times New Roman"/>
          <w:color w:val="0D0D0D" w:themeColor="text1" w:themeTint="F2"/>
          <w:szCs w:val="22"/>
        </w:rPr>
        <w:t xml:space="preserve"> </w:t>
      </w:r>
      <w:r w:rsidRPr="00A91A40">
        <w:rPr>
          <w:rFonts w:cs="Times New Roman"/>
          <w:color w:val="0D0D0D" w:themeColor="text1" w:themeTint="F2"/>
          <w:szCs w:val="22"/>
        </w:rPr>
        <w:t>should submit a safety report on the use o</w:t>
      </w:r>
      <w:r w:rsidR="007D5AE9">
        <w:rPr>
          <w:rFonts w:cs="Times New Roman"/>
          <w:color w:val="0D0D0D" w:themeColor="text1" w:themeTint="F2"/>
          <w:szCs w:val="22"/>
        </w:rPr>
        <w:t>f the IMP/un-registered novel product</w:t>
      </w:r>
      <w:r w:rsidRPr="00A91A40">
        <w:rPr>
          <w:rFonts w:cs="Times New Roman"/>
          <w:color w:val="0D0D0D" w:themeColor="text1" w:themeTint="F2"/>
          <w:szCs w:val="22"/>
        </w:rPr>
        <w:t xml:space="preserve"> to the NRA and EC. </w:t>
      </w:r>
    </w:p>
    <w:p w14:paraId="09D5A67F" w14:textId="3BA03939" w:rsidR="00021A0D" w:rsidRPr="00A91A40" w:rsidRDefault="00021A0D" w:rsidP="000C5B88">
      <w:pPr>
        <w:pStyle w:val="BodyText"/>
        <w:numPr>
          <w:ilvl w:val="0"/>
          <w:numId w:val="27"/>
        </w:numPr>
        <w:rPr>
          <w:rFonts w:cs="Times New Roman"/>
          <w:color w:val="0D0D0D" w:themeColor="text1" w:themeTint="F2"/>
          <w:szCs w:val="22"/>
        </w:rPr>
      </w:pPr>
      <w:r w:rsidRPr="00A91A40">
        <w:rPr>
          <w:rFonts w:cs="Times New Roman"/>
          <w:color w:val="0D0D0D" w:themeColor="text1" w:themeTint="F2"/>
          <w:szCs w:val="22"/>
        </w:rPr>
        <w:t xml:space="preserve">If an import permit is issued it should be specified that </w:t>
      </w:r>
      <w:r w:rsidR="00372F09">
        <w:rPr>
          <w:rFonts w:cs="Times New Roman"/>
          <w:color w:val="0D0D0D" w:themeColor="text1" w:themeTint="F2"/>
          <w:szCs w:val="22"/>
        </w:rPr>
        <w:t>the permit is</w:t>
      </w:r>
      <w:r w:rsidRPr="00A91A40">
        <w:rPr>
          <w:rFonts w:cs="Times New Roman"/>
          <w:color w:val="0D0D0D" w:themeColor="text1" w:themeTint="F2"/>
          <w:szCs w:val="22"/>
        </w:rPr>
        <w:t xml:space="preserve"> for a single import of the stated quantity only</w:t>
      </w:r>
      <w:r w:rsidR="00F20D47" w:rsidRPr="00A91A40">
        <w:rPr>
          <w:rFonts w:cs="Times New Roman"/>
          <w:color w:val="0D0D0D" w:themeColor="text1" w:themeTint="F2"/>
          <w:szCs w:val="22"/>
        </w:rPr>
        <w:t>, unless otherwise justified</w:t>
      </w:r>
      <w:r w:rsidRPr="00A91A40">
        <w:rPr>
          <w:rFonts w:cs="Times New Roman"/>
          <w:color w:val="0D0D0D" w:themeColor="text1" w:themeTint="F2"/>
          <w:szCs w:val="22"/>
        </w:rPr>
        <w:t>. The import permit validity should also be stated, valid for 6 months from date of issue.</w:t>
      </w:r>
    </w:p>
    <w:p w14:paraId="64610843" w14:textId="77777777" w:rsidR="00021A0D" w:rsidRDefault="00021A0D" w:rsidP="00021A0D">
      <w:pPr>
        <w:pStyle w:val="BodyText"/>
      </w:pPr>
    </w:p>
    <w:p w14:paraId="7986E008" w14:textId="0A456B62" w:rsidR="00021A0D" w:rsidRDefault="00021A0D" w:rsidP="00021A0D">
      <w:pPr>
        <w:pStyle w:val="BodyText"/>
      </w:pPr>
      <w:r>
        <w:t xml:space="preserve">For emergency </w:t>
      </w:r>
      <w:r w:rsidR="00F20D47">
        <w:t xml:space="preserve">group of patients </w:t>
      </w:r>
      <w:r w:rsidR="00A91A40">
        <w:t>CUAs</w:t>
      </w:r>
      <w:r w:rsidR="00F20D47" w:rsidRPr="00036416">
        <w:rPr>
          <w:color w:val="0D0D0D" w:themeColor="text1" w:themeTint="F2"/>
        </w:rPr>
        <w:t>, the applicant</w:t>
      </w:r>
      <w:r w:rsidRPr="00036416">
        <w:rPr>
          <w:color w:val="0D0D0D" w:themeColor="text1" w:themeTint="F2"/>
        </w:rPr>
        <w:t xml:space="preserve"> </w:t>
      </w:r>
      <w:r>
        <w:t>is required to notify the NRA about</w:t>
      </w:r>
      <w:r w:rsidR="00A91A40">
        <w:t xml:space="preserve"> the</w:t>
      </w:r>
      <w:r>
        <w:t xml:space="preserve"> intent to impor</w:t>
      </w:r>
      <w:r w:rsidR="00A91A40">
        <w:t>t. An emergency import permit should be provided by the relevant agency within 24 hours,</w:t>
      </w:r>
      <w:r>
        <w:t xml:space="preserve"> if required by national legislature and import control regulations. The emergency compassionate use </w:t>
      </w:r>
      <w:r w:rsidR="00AC6D75">
        <w:t xml:space="preserve">import permit should be specific for the group of patients </w:t>
      </w:r>
      <w:r>
        <w:t xml:space="preserve">and IMP or </w:t>
      </w:r>
      <w:r w:rsidR="00AC6D75">
        <w:t xml:space="preserve">un-registered medicinal product. </w:t>
      </w:r>
      <w:r>
        <w:t xml:space="preserve"> </w:t>
      </w:r>
    </w:p>
    <w:p w14:paraId="464D901D" w14:textId="2EAC2FE1" w:rsidR="00021A0D" w:rsidRDefault="00021A0D" w:rsidP="00021A0D">
      <w:pPr>
        <w:pStyle w:val="BodyText"/>
      </w:pPr>
      <w:r>
        <w:t>The quantity that may be imported should be limited to a quantity that can</w:t>
      </w:r>
      <w:r w:rsidR="00A91A40">
        <w:t xml:space="preserve"> be</w:t>
      </w:r>
      <w:r>
        <w:t xml:space="preserve"> safely and reasonably administered </w:t>
      </w:r>
      <w:r w:rsidR="008C5DE6">
        <w:t xml:space="preserve">for the desired duration </w:t>
      </w:r>
      <w:r>
        <w:t>to t</w:t>
      </w:r>
      <w:r w:rsidR="00AC6D75">
        <w:t xml:space="preserve">he group of patients to achieve therapeutic </w:t>
      </w:r>
      <w:r w:rsidR="00A91A40">
        <w:t xml:space="preserve">or prophylactic </w:t>
      </w:r>
      <w:r w:rsidR="00AC6D75">
        <w:t>goals</w:t>
      </w:r>
      <w:r w:rsidR="00A91A40">
        <w:t>, taking into account the known safety profile of the IMP</w:t>
      </w:r>
      <w:r>
        <w:t>.</w:t>
      </w:r>
      <w:r w:rsidR="00AC6D75">
        <w:t xml:space="preserve"> Additional </w:t>
      </w:r>
      <w:r w:rsidR="00AC6D75">
        <w:lastRenderedPageBreak/>
        <w:t>quantities beyond this</w:t>
      </w:r>
      <w:r w:rsidR="0010190E">
        <w:t xml:space="preserve"> may</w:t>
      </w:r>
      <w:r w:rsidR="00AC6D75">
        <w:t xml:space="preserve"> be justified</w:t>
      </w:r>
      <w:r w:rsidR="008C5DE6">
        <w:t xml:space="preserve"> as time progresses</w:t>
      </w:r>
      <w:r w:rsidR="00AC6D75">
        <w:t>.</w:t>
      </w:r>
      <w:r w:rsidR="0010190E">
        <w:t xml:space="preserve"> In general, a reassessment of the clinical scenario should occur at least every 6 months.  </w:t>
      </w:r>
    </w:p>
    <w:p w14:paraId="714CD9E5" w14:textId="77777777" w:rsidR="00AC6D75" w:rsidRDefault="00AC6D75" w:rsidP="00021A0D">
      <w:pPr>
        <w:pStyle w:val="BodyText"/>
      </w:pPr>
    </w:p>
    <w:p w14:paraId="7601D32E" w14:textId="147587F5" w:rsidR="00772F39" w:rsidRDefault="00021A0D" w:rsidP="00021A0D">
      <w:pPr>
        <w:pStyle w:val="BodyText"/>
      </w:pPr>
      <w:r>
        <w:t>The outcome of the use of the product</w:t>
      </w:r>
      <w:r w:rsidR="00D33B2F">
        <w:t xml:space="preserve"> for the group of patients </w:t>
      </w:r>
      <w:r>
        <w:t xml:space="preserve">is under the direct responsibility of </w:t>
      </w:r>
      <w:r w:rsidRPr="00036416">
        <w:rPr>
          <w:color w:val="0D0D0D" w:themeColor="text1" w:themeTint="F2"/>
        </w:rPr>
        <w:t xml:space="preserve">the </w:t>
      </w:r>
      <w:r w:rsidR="00AC6D75" w:rsidRPr="00036416">
        <w:rPr>
          <w:color w:val="0D0D0D" w:themeColor="text1" w:themeTint="F2"/>
        </w:rPr>
        <w:t>applicant</w:t>
      </w:r>
      <w:r w:rsidR="00F604F6">
        <w:rPr>
          <w:color w:val="0D0D0D" w:themeColor="text1" w:themeTint="F2"/>
        </w:rPr>
        <w:t xml:space="preserve"> (Minister for Health)</w:t>
      </w:r>
      <w:r w:rsidR="00AC6D75" w:rsidRPr="00036416">
        <w:rPr>
          <w:color w:val="0D0D0D" w:themeColor="text1" w:themeTint="F2"/>
        </w:rPr>
        <w:t xml:space="preserve"> and </w:t>
      </w:r>
      <w:r w:rsidR="00A00DFE">
        <w:rPr>
          <w:color w:val="0D0D0D" w:themeColor="text1" w:themeTint="F2"/>
        </w:rPr>
        <w:t xml:space="preserve">responsible </w:t>
      </w:r>
      <w:r w:rsidR="00A77299">
        <w:rPr>
          <w:color w:val="0D0D0D" w:themeColor="text1" w:themeTint="F2"/>
        </w:rPr>
        <w:t>physician</w:t>
      </w:r>
      <w:r w:rsidR="007D5AE9">
        <w:rPr>
          <w:color w:val="0D0D0D" w:themeColor="text1" w:themeTint="F2"/>
        </w:rPr>
        <w:t>.</w:t>
      </w:r>
      <w:r w:rsidR="00F604F6">
        <w:rPr>
          <w:color w:val="0D0D0D" w:themeColor="text1" w:themeTint="F2"/>
        </w:rPr>
        <w:t xml:space="preserve"> </w:t>
      </w:r>
      <w:r w:rsidR="00F604F6">
        <w:t>A</w:t>
      </w:r>
      <w:r>
        <w:t>ll relevant national</w:t>
      </w:r>
      <w:r w:rsidR="008C5DE6">
        <w:t xml:space="preserve"> public health</w:t>
      </w:r>
      <w:r>
        <w:t xml:space="preserve"> laws apply.</w:t>
      </w:r>
    </w:p>
    <w:p w14:paraId="3DDCF3F8" w14:textId="478C7353" w:rsidR="00FA5CD8" w:rsidRDefault="00FA5CD8" w:rsidP="000C5B88">
      <w:pPr>
        <w:pStyle w:val="Heading1"/>
        <w:ind w:left="0" w:firstLine="0"/>
      </w:pPr>
      <w:bookmarkStart w:id="9" w:name="_Toc46149905"/>
    </w:p>
    <w:p w14:paraId="72310E84" w14:textId="77777777" w:rsidR="008C753F" w:rsidRDefault="008C753F" w:rsidP="000C5B88">
      <w:pPr>
        <w:pStyle w:val="Heading1"/>
        <w:ind w:left="0" w:firstLine="0"/>
      </w:pPr>
    </w:p>
    <w:p w14:paraId="67985ED8" w14:textId="77777777" w:rsidR="00FA5CD8" w:rsidRDefault="00FA5CD8" w:rsidP="009615A6">
      <w:pPr>
        <w:pStyle w:val="Heading1"/>
      </w:pPr>
    </w:p>
    <w:p w14:paraId="0126F558" w14:textId="6A981632" w:rsidR="00772F39" w:rsidRDefault="002E5437" w:rsidP="009615A6">
      <w:pPr>
        <w:pStyle w:val="Heading1"/>
      </w:pPr>
      <w:r>
        <w:t xml:space="preserve">8.0 </w:t>
      </w:r>
      <w:r w:rsidR="009615A6">
        <w:t>Plans for Compassionate Use Application Processing by NRAs and ECs</w:t>
      </w:r>
      <w:bookmarkEnd w:id="9"/>
      <w:r w:rsidR="009615A6">
        <w:t xml:space="preserve"> </w:t>
      </w:r>
    </w:p>
    <w:p w14:paraId="4669B057" w14:textId="77777777" w:rsidR="009615A6" w:rsidRDefault="009615A6" w:rsidP="009615A6">
      <w:pPr>
        <w:pStyle w:val="Heading1"/>
      </w:pPr>
    </w:p>
    <w:p w14:paraId="3E96DA6A" w14:textId="1C848CBB" w:rsidR="001729F2" w:rsidRDefault="00772F39" w:rsidP="004731AB">
      <w:pPr>
        <w:spacing w:after="0"/>
        <w:rPr>
          <w:rFonts w:ascii="Times New Roman" w:eastAsia="Times New Roman" w:hAnsi="Times New Roman" w:cs="Times New Roman"/>
          <w:color w:val="333333"/>
          <w:sz w:val="24"/>
          <w:szCs w:val="28"/>
        </w:rPr>
      </w:pPr>
      <w:r w:rsidRPr="00847A5A">
        <w:rPr>
          <w:rFonts w:ascii="Times New Roman" w:hAnsi="Times New Roman" w:cs="Times New Roman"/>
          <w:sz w:val="24"/>
          <w:szCs w:val="28"/>
        </w:rPr>
        <w:t xml:space="preserve">NRAs and ECs </w:t>
      </w:r>
      <w:r w:rsidR="00AC6D75">
        <w:rPr>
          <w:rFonts w:ascii="Times New Roman" w:eastAsia="Times New Roman" w:hAnsi="Times New Roman" w:cs="Times New Roman"/>
          <w:color w:val="333333"/>
          <w:sz w:val="24"/>
          <w:szCs w:val="28"/>
        </w:rPr>
        <w:t xml:space="preserve">should </w:t>
      </w:r>
      <w:r w:rsidR="00A77299">
        <w:rPr>
          <w:rFonts w:ascii="Times New Roman" w:eastAsia="Times New Roman" w:hAnsi="Times New Roman" w:cs="Times New Roman"/>
          <w:color w:val="333333"/>
          <w:sz w:val="24"/>
          <w:szCs w:val="28"/>
        </w:rPr>
        <w:t>have</w:t>
      </w:r>
      <w:r w:rsidR="00AC6D75">
        <w:rPr>
          <w:rFonts w:ascii="Times New Roman" w:eastAsia="Times New Roman" w:hAnsi="Times New Roman" w:cs="Times New Roman"/>
          <w:color w:val="333333"/>
          <w:sz w:val="24"/>
          <w:szCs w:val="28"/>
        </w:rPr>
        <w:t xml:space="preserve"> appropriate </w:t>
      </w:r>
      <w:r w:rsidR="001729F2" w:rsidRPr="00847A5A">
        <w:rPr>
          <w:rFonts w:ascii="Times New Roman" w:eastAsia="Times New Roman" w:hAnsi="Times New Roman" w:cs="Times New Roman"/>
          <w:color w:val="333333"/>
          <w:sz w:val="24"/>
          <w:szCs w:val="28"/>
        </w:rPr>
        <w:t xml:space="preserve">plans </w:t>
      </w:r>
      <w:r w:rsidR="00847A5A" w:rsidRPr="00847A5A">
        <w:rPr>
          <w:rFonts w:ascii="Times New Roman" w:eastAsia="Times New Roman" w:hAnsi="Times New Roman" w:cs="Times New Roman"/>
          <w:color w:val="333333"/>
          <w:sz w:val="24"/>
          <w:szCs w:val="28"/>
        </w:rPr>
        <w:t>and policies i</w:t>
      </w:r>
      <w:r w:rsidR="00A77299">
        <w:rPr>
          <w:rFonts w:ascii="Times New Roman" w:eastAsia="Times New Roman" w:hAnsi="Times New Roman" w:cs="Times New Roman"/>
          <w:color w:val="333333"/>
          <w:sz w:val="24"/>
          <w:szCs w:val="28"/>
        </w:rPr>
        <w:t>n place</w:t>
      </w:r>
      <w:r w:rsidR="00847A5A" w:rsidRPr="00847A5A">
        <w:rPr>
          <w:rFonts w:ascii="Times New Roman" w:eastAsia="Times New Roman" w:hAnsi="Times New Roman" w:cs="Times New Roman"/>
          <w:color w:val="333333"/>
          <w:sz w:val="24"/>
          <w:szCs w:val="28"/>
        </w:rPr>
        <w:t>,</w:t>
      </w:r>
      <w:r w:rsidR="005A2A9C">
        <w:rPr>
          <w:rFonts w:ascii="Times New Roman" w:eastAsia="Times New Roman" w:hAnsi="Times New Roman" w:cs="Times New Roman"/>
          <w:color w:val="333333"/>
          <w:sz w:val="24"/>
          <w:szCs w:val="28"/>
        </w:rPr>
        <w:t xml:space="preserve"> </w:t>
      </w:r>
      <w:r w:rsidR="00AC6D75">
        <w:rPr>
          <w:rFonts w:ascii="Times New Roman" w:eastAsia="Times New Roman" w:hAnsi="Times New Roman" w:cs="Times New Roman"/>
          <w:color w:val="333333"/>
          <w:sz w:val="24"/>
          <w:szCs w:val="28"/>
        </w:rPr>
        <w:t xml:space="preserve">for </w:t>
      </w:r>
      <w:r w:rsidR="00847A5A" w:rsidRPr="00847A5A">
        <w:rPr>
          <w:rFonts w:ascii="Times New Roman" w:eastAsia="Times New Roman" w:hAnsi="Times New Roman" w:cs="Times New Roman"/>
          <w:color w:val="333333"/>
          <w:sz w:val="24"/>
          <w:szCs w:val="28"/>
        </w:rPr>
        <w:t>regulatory and ethics review</w:t>
      </w:r>
      <w:r w:rsidR="00233507">
        <w:rPr>
          <w:rFonts w:ascii="Times New Roman" w:eastAsia="Times New Roman" w:hAnsi="Times New Roman" w:cs="Times New Roman"/>
          <w:color w:val="333333"/>
          <w:sz w:val="24"/>
          <w:szCs w:val="28"/>
        </w:rPr>
        <w:t xml:space="preserve"> to </w:t>
      </w:r>
      <w:r w:rsidR="00AC6D75">
        <w:rPr>
          <w:rFonts w:ascii="Times New Roman" w:eastAsia="Times New Roman" w:hAnsi="Times New Roman" w:cs="Times New Roman"/>
          <w:color w:val="333333"/>
          <w:sz w:val="24"/>
          <w:szCs w:val="28"/>
        </w:rPr>
        <w:t>address</w:t>
      </w:r>
      <w:r w:rsidR="00233507">
        <w:rPr>
          <w:rFonts w:ascii="Times New Roman" w:eastAsia="Times New Roman" w:hAnsi="Times New Roman" w:cs="Times New Roman"/>
          <w:color w:val="333333"/>
          <w:sz w:val="24"/>
          <w:szCs w:val="28"/>
        </w:rPr>
        <w:t xml:space="preserve"> CUAs for</w:t>
      </w:r>
      <w:r w:rsidR="00AC6D75">
        <w:rPr>
          <w:rFonts w:ascii="Times New Roman" w:eastAsia="Times New Roman" w:hAnsi="Times New Roman" w:cs="Times New Roman"/>
          <w:color w:val="333333"/>
          <w:sz w:val="24"/>
          <w:szCs w:val="28"/>
        </w:rPr>
        <w:t xml:space="preserve"> individual patients and groups of patients in non-emergency and emergency situations. R</w:t>
      </w:r>
      <w:r w:rsidR="001729F2" w:rsidRPr="00847A5A">
        <w:rPr>
          <w:rFonts w:ascii="Times New Roman" w:eastAsia="Times New Roman" w:hAnsi="Times New Roman" w:cs="Times New Roman"/>
          <w:color w:val="333333"/>
          <w:sz w:val="24"/>
          <w:szCs w:val="28"/>
        </w:rPr>
        <w:t>eview during public</w:t>
      </w:r>
      <w:r w:rsidR="00A77299">
        <w:rPr>
          <w:rFonts w:ascii="Times New Roman" w:eastAsia="Times New Roman" w:hAnsi="Times New Roman" w:cs="Times New Roman"/>
          <w:color w:val="333333"/>
          <w:sz w:val="24"/>
          <w:szCs w:val="28"/>
        </w:rPr>
        <w:t xml:space="preserve"> health </w:t>
      </w:r>
      <w:r w:rsidR="001729F2" w:rsidRPr="00847A5A">
        <w:rPr>
          <w:rFonts w:ascii="Times New Roman" w:eastAsia="Times New Roman" w:hAnsi="Times New Roman" w:cs="Times New Roman"/>
          <w:color w:val="333333"/>
          <w:sz w:val="24"/>
          <w:szCs w:val="28"/>
        </w:rPr>
        <w:t>emergencies may follow mo</w:t>
      </w:r>
      <w:r w:rsidR="00847A5A" w:rsidRPr="00847A5A">
        <w:rPr>
          <w:rFonts w:ascii="Times New Roman" w:eastAsia="Times New Roman" w:hAnsi="Times New Roman" w:cs="Times New Roman"/>
          <w:color w:val="333333"/>
          <w:sz w:val="24"/>
          <w:szCs w:val="28"/>
        </w:rPr>
        <w:t xml:space="preserve">dified procedures and practices specifically designed for </w:t>
      </w:r>
      <w:r w:rsidR="00A77299">
        <w:rPr>
          <w:rFonts w:ascii="Times New Roman" w:eastAsia="Times New Roman" w:hAnsi="Times New Roman" w:cs="Times New Roman"/>
          <w:color w:val="333333"/>
          <w:sz w:val="24"/>
          <w:szCs w:val="28"/>
        </w:rPr>
        <w:t>such situations</w:t>
      </w:r>
      <w:r w:rsidR="00847A5A" w:rsidRPr="00847A5A">
        <w:rPr>
          <w:rFonts w:ascii="Times New Roman" w:eastAsia="Times New Roman" w:hAnsi="Times New Roman" w:cs="Times New Roman"/>
          <w:color w:val="333333"/>
          <w:sz w:val="24"/>
          <w:szCs w:val="28"/>
        </w:rPr>
        <w:t xml:space="preserve">. </w:t>
      </w:r>
    </w:p>
    <w:p w14:paraId="3A9F1DCD" w14:textId="77777777" w:rsidR="004731AB" w:rsidRPr="00847A5A" w:rsidRDefault="004731AB" w:rsidP="004731AB">
      <w:pPr>
        <w:spacing w:after="0"/>
        <w:rPr>
          <w:rFonts w:ascii="Times New Roman" w:hAnsi="Times New Roman" w:cs="Times New Roman"/>
          <w:sz w:val="24"/>
          <w:szCs w:val="28"/>
        </w:rPr>
      </w:pPr>
    </w:p>
    <w:p w14:paraId="69B4BDB3" w14:textId="2417A4FF" w:rsidR="00D94BC6" w:rsidRDefault="00847A5A" w:rsidP="004731AB">
      <w:pPr>
        <w:spacing w:after="0" w:line="240" w:lineRule="auto"/>
        <w:rPr>
          <w:rFonts w:ascii="Times New Roman" w:eastAsia="Times New Roman" w:hAnsi="Times New Roman" w:cs="Times New Roman"/>
          <w:color w:val="333333"/>
          <w:sz w:val="24"/>
          <w:szCs w:val="28"/>
        </w:rPr>
      </w:pPr>
      <w:r w:rsidRPr="00AC6D75">
        <w:rPr>
          <w:rFonts w:ascii="Times New Roman" w:eastAsia="Times New Roman" w:hAnsi="Times New Roman" w:cs="Times New Roman"/>
          <w:bCs/>
          <w:color w:val="333333"/>
          <w:sz w:val="24"/>
          <w:szCs w:val="28"/>
        </w:rPr>
        <w:t>Through their plans, NRAs and ECs</w:t>
      </w:r>
      <w:r w:rsidRPr="00847A5A">
        <w:rPr>
          <w:rFonts w:ascii="Times New Roman" w:eastAsia="Times New Roman" w:hAnsi="Times New Roman" w:cs="Times New Roman"/>
          <w:b/>
          <w:bCs/>
          <w:color w:val="333333"/>
          <w:sz w:val="24"/>
          <w:szCs w:val="28"/>
        </w:rPr>
        <w:t xml:space="preserve"> </w:t>
      </w:r>
      <w:r w:rsidR="001729F2" w:rsidRPr="00847A5A">
        <w:rPr>
          <w:rFonts w:ascii="Times New Roman" w:eastAsia="Times New Roman" w:hAnsi="Times New Roman" w:cs="Times New Roman"/>
          <w:color w:val="333333"/>
          <w:sz w:val="24"/>
          <w:szCs w:val="28"/>
        </w:rPr>
        <w:t>need to anticipate the pressures, time constraints, priorities and logistical challenges that may arise to ensure quality, timely, propor</w:t>
      </w:r>
      <w:r w:rsidRPr="00847A5A">
        <w:rPr>
          <w:rFonts w:ascii="Times New Roman" w:eastAsia="Times New Roman" w:hAnsi="Times New Roman" w:cs="Times New Roman"/>
          <w:color w:val="333333"/>
          <w:sz w:val="24"/>
          <w:szCs w:val="28"/>
        </w:rPr>
        <w:t>tionate and appropriate regulatory and</w:t>
      </w:r>
      <w:r w:rsidR="001729F2" w:rsidRPr="00847A5A">
        <w:rPr>
          <w:rFonts w:ascii="Times New Roman" w:eastAsia="Times New Roman" w:hAnsi="Times New Roman" w:cs="Times New Roman"/>
          <w:color w:val="333333"/>
          <w:sz w:val="24"/>
          <w:szCs w:val="28"/>
        </w:rPr>
        <w:t xml:space="preserve"> e</w:t>
      </w:r>
      <w:r w:rsidRPr="00847A5A">
        <w:rPr>
          <w:rFonts w:ascii="Times New Roman" w:eastAsia="Times New Roman" w:hAnsi="Times New Roman" w:cs="Times New Roman"/>
          <w:color w:val="333333"/>
          <w:sz w:val="24"/>
          <w:szCs w:val="28"/>
        </w:rPr>
        <w:t>thics review. The plan should be</w:t>
      </w:r>
      <w:r w:rsidR="00367D3C">
        <w:rPr>
          <w:rFonts w:ascii="Times New Roman" w:eastAsia="Times New Roman" w:hAnsi="Times New Roman" w:cs="Times New Roman"/>
          <w:color w:val="333333"/>
          <w:sz w:val="24"/>
          <w:szCs w:val="28"/>
        </w:rPr>
        <w:t xml:space="preserve"> </w:t>
      </w:r>
      <w:r w:rsidRPr="00847A5A">
        <w:rPr>
          <w:rFonts w:ascii="Times New Roman" w:eastAsia="Times New Roman" w:hAnsi="Times New Roman" w:cs="Times New Roman"/>
          <w:color w:val="333333"/>
          <w:sz w:val="24"/>
          <w:szCs w:val="28"/>
        </w:rPr>
        <w:t>piloted in advance of an actual emergency.</w:t>
      </w:r>
    </w:p>
    <w:p w14:paraId="63B3B4AD" w14:textId="57BEBE96" w:rsidR="00A00DFE" w:rsidRDefault="00A00DFE" w:rsidP="004731AB">
      <w:pPr>
        <w:spacing w:after="0" w:line="240" w:lineRule="auto"/>
        <w:rPr>
          <w:rFonts w:ascii="Times New Roman" w:eastAsia="Times New Roman" w:hAnsi="Times New Roman" w:cs="Times New Roman"/>
          <w:color w:val="333333"/>
          <w:sz w:val="24"/>
          <w:szCs w:val="28"/>
        </w:rPr>
      </w:pPr>
    </w:p>
    <w:p w14:paraId="4BA271A2" w14:textId="119349FC" w:rsidR="00A00DFE" w:rsidRDefault="00A00DFE" w:rsidP="004731AB">
      <w:pPr>
        <w:spacing w:after="0" w:line="240" w:lineRule="auto"/>
        <w:rPr>
          <w:rFonts w:ascii="Times New Roman" w:eastAsia="Times New Roman" w:hAnsi="Times New Roman" w:cs="Times New Roman"/>
          <w:color w:val="333333"/>
          <w:sz w:val="24"/>
          <w:szCs w:val="28"/>
        </w:rPr>
      </w:pPr>
      <w:r>
        <w:rPr>
          <w:rFonts w:ascii="Times New Roman" w:eastAsia="Times New Roman" w:hAnsi="Times New Roman" w:cs="Times New Roman"/>
          <w:color w:val="333333"/>
          <w:sz w:val="24"/>
          <w:szCs w:val="28"/>
        </w:rPr>
        <w:t>A regulatory outcome of an approval or denial, in response to a group</w:t>
      </w:r>
      <w:r w:rsidR="00367D3C">
        <w:rPr>
          <w:rFonts w:ascii="Times New Roman" w:eastAsia="Times New Roman" w:hAnsi="Times New Roman" w:cs="Times New Roman"/>
          <w:color w:val="333333"/>
          <w:sz w:val="24"/>
          <w:szCs w:val="28"/>
        </w:rPr>
        <w:t xml:space="preserve"> </w:t>
      </w:r>
      <w:r>
        <w:rPr>
          <w:rFonts w:ascii="Times New Roman" w:eastAsia="Times New Roman" w:hAnsi="Times New Roman" w:cs="Times New Roman"/>
          <w:color w:val="333333"/>
          <w:sz w:val="24"/>
          <w:szCs w:val="28"/>
        </w:rPr>
        <w:t>CUA should take no more than 24 hours during public health emergencies.</w:t>
      </w:r>
    </w:p>
    <w:p w14:paraId="0DC7839A" w14:textId="77777777" w:rsidR="00990AB7" w:rsidRPr="0002216B" w:rsidRDefault="00990AB7" w:rsidP="004731AB">
      <w:pPr>
        <w:spacing w:after="0" w:line="240" w:lineRule="auto"/>
        <w:rPr>
          <w:rFonts w:ascii="Times New Roman" w:eastAsia="Times New Roman" w:hAnsi="Times New Roman" w:cs="Times New Roman"/>
          <w:color w:val="333333"/>
          <w:sz w:val="24"/>
          <w:szCs w:val="28"/>
        </w:rPr>
      </w:pPr>
    </w:p>
    <w:p w14:paraId="3DAB84F8" w14:textId="77777777" w:rsidR="00D43759" w:rsidRDefault="00D43759" w:rsidP="00351D44">
      <w:pPr>
        <w:pStyle w:val="BodyText"/>
        <w:rPr>
          <w:iCs/>
          <w:color w:val="000000" w:themeColor="text1"/>
        </w:rPr>
      </w:pPr>
    </w:p>
    <w:p w14:paraId="407858C4" w14:textId="06B73818" w:rsidR="005F0371" w:rsidRDefault="002E5437" w:rsidP="00815F7A">
      <w:pPr>
        <w:pStyle w:val="Heading1"/>
      </w:pPr>
      <w:bookmarkStart w:id="10" w:name="_Toc46149906"/>
      <w:r>
        <w:t>9</w:t>
      </w:r>
      <w:r w:rsidR="00BB57F1" w:rsidRPr="00BB0E64">
        <w:t xml:space="preserve">.0 </w:t>
      </w:r>
      <w:r w:rsidR="00D732B6">
        <w:t>Marketing Authorization Options for Compassionate Use in Public Health Emergencies</w:t>
      </w:r>
      <w:bookmarkEnd w:id="10"/>
    </w:p>
    <w:p w14:paraId="16F6F160" w14:textId="7E49FAB7" w:rsidR="00E01FD6" w:rsidRDefault="00E01FD6" w:rsidP="00815F7A">
      <w:pPr>
        <w:pStyle w:val="Heading1"/>
      </w:pPr>
    </w:p>
    <w:p w14:paraId="6A2E1DA3" w14:textId="27BBBDA6" w:rsidR="00524E57" w:rsidRDefault="00D732B6" w:rsidP="00267B33">
      <w:pPr>
        <w:pStyle w:val="BodyText"/>
      </w:pPr>
      <w:r w:rsidRPr="0002216B">
        <w:t xml:space="preserve">In the interest of public health, applicants may be granted a conditional marketing </w:t>
      </w:r>
      <w:r w:rsidR="00524E57" w:rsidRPr="0002216B">
        <w:t>authorization</w:t>
      </w:r>
      <w:r w:rsidR="005D018E" w:rsidRPr="0002216B">
        <w:t xml:space="preserve"> for such</w:t>
      </w:r>
      <w:r w:rsidR="00233507">
        <w:t xml:space="preserve"> an IMP </w:t>
      </w:r>
      <w:r w:rsidR="00367D3C">
        <w:t>/un-registered novel</w:t>
      </w:r>
      <w:r w:rsidR="00A77299">
        <w:t xml:space="preserve"> product </w:t>
      </w:r>
      <w:r w:rsidR="00524E57" w:rsidRPr="0002216B">
        <w:t>o</w:t>
      </w:r>
      <w:r w:rsidR="005D018E" w:rsidRPr="0002216B">
        <w:t>r</w:t>
      </w:r>
      <w:r w:rsidR="00233507">
        <w:t xml:space="preserve"> un-registered</w:t>
      </w:r>
      <w:r w:rsidR="00524E57" w:rsidRPr="0002216B">
        <w:t xml:space="preserve"> therapeutic intervention,</w:t>
      </w:r>
      <w:r w:rsidRPr="0002216B">
        <w:t xml:space="preserve"> where the benefit of immediate availability outweighs the risk of less comprehensive data than normally required, base</w:t>
      </w:r>
      <w:r w:rsidR="00524E57" w:rsidRPr="0002216B">
        <w:t xml:space="preserve">d on the scope and criteria defined in this guideline and in accordance with local </w:t>
      </w:r>
      <w:r w:rsidR="008C5DE6">
        <w:t>laws</w:t>
      </w:r>
      <w:r w:rsidR="00524E57" w:rsidRPr="0002216B">
        <w:t>.</w:t>
      </w:r>
      <w:r w:rsidR="00F604F6">
        <w:t xml:space="preserve"> In all cases,</w:t>
      </w:r>
      <w:r w:rsidR="00A77299">
        <w:t xml:space="preserve"> </w:t>
      </w:r>
      <w:r w:rsidR="00F604F6">
        <w:t>however,</w:t>
      </w:r>
      <w:r w:rsidR="00A77299">
        <w:t xml:space="preserve"> </w:t>
      </w:r>
      <w:r w:rsidR="00F604F6">
        <w:t>the manufacturer is obliged to conduct all required</w:t>
      </w:r>
      <w:r w:rsidR="00F604F6" w:rsidRPr="00F604F6">
        <w:t xml:space="preserve"> studies to inform the safety (and potentially efficacy) of the product.</w:t>
      </w:r>
    </w:p>
    <w:p w14:paraId="757F2A9D" w14:textId="0E398F1E" w:rsidR="00D732B6" w:rsidRPr="0002216B" w:rsidRDefault="00D732B6" w:rsidP="00233507">
      <w:pPr>
        <w:pStyle w:val="BodyText"/>
        <w:ind w:left="0"/>
      </w:pPr>
      <w:r w:rsidRPr="0002216B">
        <w:t xml:space="preserve"> </w:t>
      </w:r>
    </w:p>
    <w:p w14:paraId="3B5917FF" w14:textId="36E958D4" w:rsidR="00D732B6" w:rsidRPr="0002216B" w:rsidRDefault="00D732B6" w:rsidP="00267B33">
      <w:pPr>
        <w:pStyle w:val="BodyText"/>
      </w:pPr>
      <w:r w:rsidRPr="0002216B">
        <w:t>For products intended for use in emergency situations, less comprehensive pharmaceutical and non-cli</w:t>
      </w:r>
      <w:r w:rsidR="00233507">
        <w:t>nical data may also be acceptable if  a positive benefit –risk assessment</w:t>
      </w:r>
      <w:r w:rsidR="00A77299">
        <w:t xml:space="preserve"> exists</w:t>
      </w:r>
      <w:r w:rsidR="00F659A8" w:rsidRPr="0002216B">
        <w:t>.</w:t>
      </w:r>
      <w:r w:rsidR="00233507">
        <w:t xml:space="preserve"> </w:t>
      </w:r>
      <w:r w:rsidR="00524E57" w:rsidRPr="0002216B">
        <w:t>A c</w:t>
      </w:r>
      <w:r w:rsidRPr="0002216B">
        <w:t>onditional</w:t>
      </w:r>
      <w:r w:rsidR="00524E57" w:rsidRPr="0002216B">
        <w:t xml:space="preserve"> marketing authoriz</w:t>
      </w:r>
      <w:r w:rsidRPr="0002216B">
        <w:t>a</w:t>
      </w:r>
      <w:r w:rsidR="00524E57" w:rsidRPr="0002216B">
        <w:t>tion may be granted for a</w:t>
      </w:r>
      <w:r w:rsidR="00A77299">
        <w:t>n IMP/</w:t>
      </w:r>
      <w:r w:rsidR="00D33B2F">
        <w:t xml:space="preserve"> </w:t>
      </w:r>
      <w:r w:rsidR="00233507">
        <w:t xml:space="preserve">un-registered </w:t>
      </w:r>
      <w:r w:rsidR="00A77299">
        <w:t xml:space="preserve">novel </w:t>
      </w:r>
      <w:r w:rsidR="00233507">
        <w:t>medicinal product</w:t>
      </w:r>
      <w:r w:rsidR="00A77299">
        <w:t xml:space="preserve"> or unregistered therapeutic intervention</w:t>
      </w:r>
      <w:r w:rsidR="00233507">
        <w:t xml:space="preserve"> if the</w:t>
      </w:r>
      <w:r w:rsidR="00524E57" w:rsidRPr="0002216B">
        <w:t xml:space="preserve"> </w:t>
      </w:r>
      <w:r w:rsidR="00086852">
        <w:t>responsible authority /</w:t>
      </w:r>
      <w:r w:rsidR="00524E57" w:rsidRPr="0002216B">
        <w:t>NR</w:t>
      </w:r>
      <w:r w:rsidR="00086852">
        <w:t>A</w:t>
      </w:r>
      <w:r w:rsidR="00524E57" w:rsidRPr="0002216B">
        <w:t xml:space="preserve"> </w:t>
      </w:r>
      <w:r w:rsidRPr="0002216B">
        <w:t>finds that all the following requirements are met:</w:t>
      </w:r>
    </w:p>
    <w:p w14:paraId="63FA63C2" w14:textId="77777777" w:rsidR="00D732B6" w:rsidRPr="0002216B" w:rsidRDefault="00D732B6" w:rsidP="00036416">
      <w:pPr>
        <w:pStyle w:val="BodyText"/>
        <w:numPr>
          <w:ilvl w:val="0"/>
          <w:numId w:val="9"/>
        </w:numPr>
      </w:pPr>
      <w:r w:rsidRPr="0002216B">
        <w:t>the benefit-risk balance of the product is positive;</w:t>
      </w:r>
    </w:p>
    <w:p w14:paraId="17D1E651" w14:textId="474708D5" w:rsidR="00D732B6" w:rsidRPr="0002216B" w:rsidRDefault="00D732B6" w:rsidP="00036416">
      <w:pPr>
        <w:pStyle w:val="BodyText"/>
        <w:numPr>
          <w:ilvl w:val="0"/>
          <w:numId w:val="9"/>
        </w:numPr>
      </w:pPr>
      <w:r w:rsidRPr="0002216B">
        <w:t xml:space="preserve">it is likely that the applicant will be able to provide </w:t>
      </w:r>
      <w:r w:rsidR="00A77299">
        <w:t xml:space="preserve">additional </w:t>
      </w:r>
      <w:r w:rsidRPr="0002216B">
        <w:t>comprehensive data;</w:t>
      </w:r>
    </w:p>
    <w:p w14:paraId="6A7D66EC" w14:textId="77777777" w:rsidR="00D732B6" w:rsidRPr="0002216B" w:rsidRDefault="00D732B6" w:rsidP="00036416">
      <w:pPr>
        <w:pStyle w:val="BodyText"/>
        <w:numPr>
          <w:ilvl w:val="0"/>
          <w:numId w:val="9"/>
        </w:numPr>
      </w:pPr>
      <w:r w:rsidRPr="0002216B">
        <w:t>unmet medical needs will be fulfilled;</w:t>
      </w:r>
    </w:p>
    <w:p w14:paraId="2FAA19AF" w14:textId="503F6199" w:rsidR="00D732B6" w:rsidRDefault="00D732B6" w:rsidP="00036416">
      <w:pPr>
        <w:pStyle w:val="BodyText"/>
        <w:numPr>
          <w:ilvl w:val="0"/>
          <w:numId w:val="9"/>
        </w:numPr>
      </w:pPr>
      <w:r w:rsidRPr="0002216B">
        <w:t>the benefit to public health of the medicinal product's immediate availability</w:t>
      </w:r>
      <w:r w:rsidR="00066054">
        <w:t xml:space="preserve"> on the </w:t>
      </w:r>
      <w:r w:rsidR="00066054">
        <w:lastRenderedPageBreak/>
        <w:t>market</w:t>
      </w:r>
      <w:r w:rsidRPr="0002216B">
        <w:t xml:space="preserve"> </w:t>
      </w:r>
      <w:r w:rsidR="00066054">
        <w:t>o</w:t>
      </w:r>
      <w:r w:rsidRPr="0002216B">
        <w:t xml:space="preserve">utweighs the risks due to </w:t>
      </w:r>
      <w:r w:rsidR="008C5DE6">
        <w:t>incomplete</w:t>
      </w:r>
      <w:r w:rsidRPr="0002216B">
        <w:t xml:space="preserve"> data.</w:t>
      </w:r>
    </w:p>
    <w:p w14:paraId="56826DB0" w14:textId="77777777" w:rsidR="00233507" w:rsidRPr="0002216B" w:rsidRDefault="00233507" w:rsidP="00233507">
      <w:pPr>
        <w:pStyle w:val="BodyText"/>
        <w:ind w:left="820"/>
      </w:pPr>
    </w:p>
    <w:p w14:paraId="33C00CCE" w14:textId="1EB5A3AE" w:rsidR="00860AA0" w:rsidRDefault="00524E57" w:rsidP="00267B33">
      <w:pPr>
        <w:pStyle w:val="BodyText"/>
      </w:pPr>
      <w:r w:rsidRPr="0002216B">
        <w:t xml:space="preserve">The conditional marketing authorization should be valid for a limited time-period (12 months), with </w:t>
      </w:r>
      <w:r w:rsidRPr="00086852">
        <w:t>an option for a single renewal</w:t>
      </w:r>
      <w:r w:rsidRPr="0002216B">
        <w:t>.</w:t>
      </w:r>
      <w:r w:rsidR="00860AA0">
        <w:t xml:space="preserve"> Further renewal is at </w:t>
      </w:r>
      <w:r w:rsidR="00A26943">
        <w:t>the discretion of the responsible authority</w:t>
      </w:r>
      <w:r w:rsidR="00860AA0">
        <w:t>.</w:t>
      </w:r>
      <w:r w:rsidRPr="0002216B">
        <w:t xml:space="preserve"> </w:t>
      </w:r>
      <w:r w:rsidR="00404ECD" w:rsidRPr="0002216B">
        <w:t>T</w:t>
      </w:r>
      <w:r w:rsidR="00086852">
        <w:t>he NRA</w:t>
      </w:r>
      <w:r w:rsidR="00A77299">
        <w:t xml:space="preserve"> will assess the application and determine</w:t>
      </w:r>
      <w:r w:rsidR="00086852">
        <w:t xml:space="preserve"> </w:t>
      </w:r>
      <w:r w:rsidR="00A77299">
        <w:t xml:space="preserve">the </w:t>
      </w:r>
      <w:r w:rsidR="00404ECD" w:rsidRPr="0002216B">
        <w:t xml:space="preserve">conditions of issuance of the conditional marketing authorization aimed at </w:t>
      </w:r>
      <w:r w:rsidR="00D732B6" w:rsidRPr="0002216B">
        <w:t>providing</w:t>
      </w:r>
      <w:r w:rsidR="00233507">
        <w:t xml:space="preserve"> further</w:t>
      </w:r>
      <w:r w:rsidR="00D732B6" w:rsidRPr="0002216B">
        <w:t xml:space="preserve"> comprehensive data confirming that the benefit-risk balance is positive.</w:t>
      </w:r>
      <w:r w:rsidR="00404ECD" w:rsidRPr="0002216B">
        <w:t xml:space="preserve"> </w:t>
      </w:r>
      <w:r w:rsidR="00F076CA">
        <w:t>The applicant is required to satisfy the requirements of the conditional approval, which are usually requirements of comprehensive data and other specific obligations.</w:t>
      </w:r>
    </w:p>
    <w:p w14:paraId="16D7E732" w14:textId="77777777" w:rsidR="00860AA0" w:rsidRDefault="00860AA0" w:rsidP="00267B33">
      <w:pPr>
        <w:pStyle w:val="BodyText"/>
      </w:pPr>
    </w:p>
    <w:p w14:paraId="154C1D83" w14:textId="2C328F55" w:rsidR="00D732B6" w:rsidRDefault="00D732B6" w:rsidP="00267B33">
      <w:pPr>
        <w:pStyle w:val="BodyText"/>
      </w:pPr>
      <w:r w:rsidRPr="0002216B">
        <w:t>Once comprehensive data on the product ha</w:t>
      </w:r>
      <w:r w:rsidR="00F076CA">
        <w:t>s</w:t>
      </w:r>
      <w:r w:rsidRPr="0002216B">
        <w:t xml:space="preserve"> been </w:t>
      </w:r>
      <w:r w:rsidR="00524E57" w:rsidRPr="0002216B">
        <w:t>obtained,</w:t>
      </w:r>
      <w:r w:rsidR="00F076CA">
        <w:t xml:space="preserve"> and specific obligations satisfied,</w:t>
      </w:r>
      <w:r w:rsidR="00524E57" w:rsidRPr="0002216B">
        <w:t xml:space="preserve"> the marketing authorization may be changed to a standard marketing authoriz</w:t>
      </w:r>
      <w:r w:rsidR="00404ECD" w:rsidRPr="0002216B">
        <w:t>ation</w:t>
      </w:r>
      <w:r w:rsidRPr="0002216B">
        <w:t>.</w:t>
      </w:r>
      <w:r w:rsidR="00524E57" w:rsidRPr="0002216B">
        <w:t xml:space="preserve"> The validity of the marketing au</w:t>
      </w:r>
      <w:r w:rsidR="00233507">
        <w:t>thorization will depend on national</w:t>
      </w:r>
      <w:r w:rsidR="00524E57" w:rsidRPr="0002216B">
        <w:t xml:space="preserve"> laws and regulations.</w:t>
      </w:r>
    </w:p>
    <w:p w14:paraId="419F2FF7" w14:textId="210F8C0E" w:rsidR="00990AB7" w:rsidRDefault="00990AB7" w:rsidP="00267B33">
      <w:pPr>
        <w:pStyle w:val="BodyText"/>
      </w:pPr>
    </w:p>
    <w:p w14:paraId="4CDA7249" w14:textId="2AB17843" w:rsidR="00A26943" w:rsidRPr="009615A6" w:rsidRDefault="00A26943" w:rsidP="0089531C">
      <w:pPr>
        <w:rPr>
          <w:b/>
          <w:color w:val="FF0000"/>
        </w:rPr>
      </w:pPr>
    </w:p>
    <w:p w14:paraId="794D3B0B" w14:textId="434DC22E" w:rsidR="00860481" w:rsidRDefault="00ED58FE" w:rsidP="00860481">
      <w:pPr>
        <w:pStyle w:val="Heading1"/>
      </w:pPr>
      <w:bookmarkStart w:id="11" w:name="_Toc46149907"/>
      <w:r>
        <w:t xml:space="preserve">10.0 </w:t>
      </w:r>
      <w:r w:rsidR="00860481">
        <w:t>Fees for Compassionate Use</w:t>
      </w:r>
      <w:bookmarkEnd w:id="11"/>
    </w:p>
    <w:p w14:paraId="60249DD3" w14:textId="7501C1DD" w:rsidR="00860481" w:rsidRDefault="00860481" w:rsidP="00860481">
      <w:pPr>
        <w:pStyle w:val="Heading1"/>
      </w:pPr>
    </w:p>
    <w:p w14:paraId="09B17A32" w14:textId="681825D1" w:rsidR="0002216B" w:rsidRPr="00D161E6" w:rsidRDefault="00F076CA" w:rsidP="00267B33">
      <w:pPr>
        <w:pStyle w:val="BodyText"/>
      </w:pPr>
      <w:r>
        <w:t>E</w:t>
      </w:r>
      <w:r w:rsidR="002B4E83" w:rsidRPr="00D161E6">
        <w:t xml:space="preserve">ach country should </w:t>
      </w:r>
      <w:r w:rsidR="00860481" w:rsidRPr="00D161E6">
        <w:t>charge the relevant fees according to</w:t>
      </w:r>
      <w:r w:rsidR="0002216B" w:rsidRPr="00D161E6">
        <w:t xml:space="preserve"> their</w:t>
      </w:r>
      <w:r w:rsidR="00860481" w:rsidRPr="00D161E6">
        <w:t xml:space="preserve"> government approved fees schedule. </w:t>
      </w:r>
      <w:r w:rsidR="00086852" w:rsidRPr="00D161E6">
        <w:t>Some countries may decide that there should be no fees payable for processing of CUAs.</w:t>
      </w:r>
    </w:p>
    <w:p w14:paraId="18DAB6A0" w14:textId="095DAC8F" w:rsidR="00860481" w:rsidRPr="00D161E6" w:rsidRDefault="00860481" w:rsidP="00267B33">
      <w:pPr>
        <w:pStyle w:val="BodyText"/>
      </w:pPr>
      <w:r w:rsidRPr="00D161E6">
        <w:t xml:space="preserve">Where the procedure is to benefit an individual named patient- </w:t>
      </w:r>
      <w:r w:rsidR="00F076CA">
        <w:t>the</w:t>
      </w:r>
      <w:r w:rsidRPr="00D161E6">
        <w:t xml:space="preserve"> recommend</w:t>
      </w:r>
      <w:r w:rsidR="00F076CA">
        <w:t>ation is</w:t>
      </w:r>
      <w:r w:rsidRPr="00D161E6">
        <w:t xml:space="preserve"> that the </w:t>
      </w:r>
      <w:r w:rsidR="002B4E83" w:rsidRPr="00D161E6">
        <w:t>minimum possible administrative fee is charged so as not to burden the patient</w:t>
      </w:r>
      <w:r w:rsidR="00F604F6">
        <w:t xml:space="preserve"> or health system</w:t>
      </w:r>
      <w:r w:rsidR="002B4E83" w:rsidRPr="00D161E6">
        <w:t>. Where the procedure is appl</w:t>
      </w:r>
      <w:r w:rsidR="0002216B" w:rsidRPr="00D161E6">
        <w:t xml:space="preserve">ied within the context of </w:t>
      </w:r>
      <w:r w:rsidR="00404ECD" w:rsidRPr="00D161E6">
        <w:t xml:space="preserve">a group </w:t>
      </w:r>
      <w:r w:rsidR="00860AA0" w:rsidRPr="00D161E6">
        <w:t xml:space="preserve">of patients’ </w:t>
      </w:r>
      <w:r w:rsidR="00404ECD" w:rsidRPr="00D161E6">
        <w:t xml:space="preserve">application or to address </w:t>
      </w:r>
      <w:r w:rsidR="002B4E83" w:rsidRPr="00D161E6">
        <w:t>a public health emergency, any fees charged should be de</w:t>
      </w:r>
      <w:r w:rsidR="00F659A8" w:rsidRPr="00D161E6">
        <w:t xml:space="preserve">ductible from the fees payable </w:t>
      </w:r>
      <w:r w:rsidR="002B4E83" w:rsidRPr="00D161E6">
        <w:t>for an application for marketing authori</w:t>
      </w:r>
      <w:r w:rsidR="00F604F6">
        <w:t>zation</w:t>
      </w:r>
      <w:r w:rsidR="002B4E83" w:rsidRPr="00D161E6">
        <w:t xml:space="preserve"> for the same medicinal product, submitted by the same applicant.</w:t>
      </w:r>
    </w:p>
    <w:p w14:paraId="7DCABF9F" w14:textId="6DB9B3AC" w:rsidR="00EC7AB4" w:rsidRDefault="00EC7AB4" w:rsidP="00EC7AB4">
      <w:pPr>
        <w:pStyle w:val="BodyText"/>
        <w:ind w:left="0"/>
      </w:pPr>
    </w:p>
    <w:p w14:paraId="5F8D869D" w14:textId="280F0D81" w:rsidR="002F2580" w:rsidRDefault="002F2580" w:rsidP="00EC7AB4">
      <w:pPr>
        <w:pStyle w:val="BodyText"/>
        <w:ind w:left="0"/>
        <w:rPr>
          <w:color w:val="C00000"/>
        </w:rPr>
      </w:pPr>
    </w:p>
    <w:p w14:paraId="7EE252D1" w14:textId="29385F4F" w:rsidR="002967B6" w:rsidRDefault="002967B6" w:rsidP="00EC7AB4">
      <w:pPr>
        <w:pStyle w:val="BodyText"/>
        <w:ind w:left="0"/>
        <w:rPr>
          <w:color w:val="C00000"/>
        </w:rPr>
      </w:pPr>
    </w:p>
    <w:p w14:paraId="72AD16C3" w14:textId="77777777" w:rsidR="002967B6" w:rsidRDefault="002967B6" w:rsidP="00EC7AB4">
      <w:pPr>
        <w:pStyle w:val="BodyText"/>
        <w:ind w:left="0"/>
      </w:pPr>
    </w:p>
    <w:p w14:paraId="58F6D8F8" w14:textId="0FB46539" w:rsidR="00450D93" w:rsidRDefault="00D43759" w:rsidP="00EC7AB4">
      <w:pPr>
        <w:pStyle w:val="Heading1"/>
        <w:ind w:left="0" w:firstLine="0"/>
      </w:pPr>
      <w:bookmarkStart w:id="12" w:name="_Toc46149908"/>
      <w:r>
        <w:t>References</w:t>
      </w:r>
      <w:bookmarkEnd w:id="12"/>
    </w:p>
    <w:p w14:paraId="169BE6B8" w14:textId="4D9C70B1" w:rsidR="00641DF0" w:rsidRDefault="00641DF0" w:rsidP="00EC7AB4">
      <w:pPr>
        <w:pStyle w:val="Heading1"/>
        <w:ind w:left="0" w:firstLine="0"/>
      </w:pPr>
    </w:p>
    <w:p w14:paraId="495C0898" w14:textId="0003C520" w:rsidR="00641DF0" w:rsidRDefault="00641DF0" w:rsidP="00036416">
      <w:pPr>
        <w:pStyle w:val="ListParagraph"/>
        <w:numPr>
          <w:ilvl w:val="0"/>
          <w:numId w:val="1"/>
        </w:numPr>
      </w:pPr>
      <w:r>
        <w:t xml:space="preserve">WHO EUL Document, January 9, 2020, </w:t>
      </w:r>
      <w:hyperlink r:id="rId11" w:history="1">
        <w:r w:rsidRPr="006376B1">
          <w:rPr>
            <w:rStyle w:val="Hyperlink"/>
          </w:rPr>
          <w:t>https://www.who.int/who-documents-detail/emergency-use-listing-procedure</w:t>
        </w:r>
      </w:hyperlink>
    </w:p>
    <w:p w14:paraId="216D3B5D" w14:textId="0F6D6179" w:rsidR="00450D93" w:rsidRDefault="00641DF0" w:rsidP="00036416">
      <w:pPr>
        <w:pStyle w:val="ListParagraph"/>
        <w:numPr>
          <w:ilvl w:val="0"/>
          <w:numId w:val="1"/>
        </w:numPr>
      </w:pPr>
      <w:r>
        <w:t>WHO EUL N</w:t>
      </w:r>
      <w:r w:rsidR="00F60867">
        <w:t>ewsroom item, March 31</w:t>
      </w:r>
      <w:r>
        <w:t xml:space="preserve">, 2020, </w:t>
      </w:r>
      <w:hyperlink r:id="rId12" w:history="1">
        <w:r w:rsidRPr="006376B1">
          <w:rPr>
            <w:rStyle w:val="Hyperlink"/>
          </w:rPr>
          <w:t>https://www.who.int/news-room/detail/09-01-2020-emergency-use-listing-procedure-and-roadmap-health-emergencies</w:t>
        </w:r>
      </w:hyperlink>
    </w:p>
    <w:p w14:paraId="6A2B9E2C" w14:textId="02A058A0" w:rsidR="00AD49BC" w:rsidRDefault="00641DF0" w:rsidP="00036416">
      <w:pPr>
        <w:pStyle w:val="ListParagraph"/>
        <w:numPr>
          <w:ilvl w:val="0"/>
          <w:numId w:val="1"/>
        </w:numPr>
      </w:pPr>
      <w:r w:rsidRPr="00641DF0">
        <w:t>T</w:t>
      </w:r>
      <w:r>
        <w:t>ri-</w:t>
      </w:r>
      <w:r w:rsidRPr="00641DF0">
        <w:t>C</w:t>
      </w:r>
      <w:r>
        <w:t xml:space="preserve">ouncil </w:t>
      </w:r>
      <w:r w:rsidRPr="00641DF0">
        <w:t>P</w:t>
      </w:r>
      <w:r>
        <w:t xml:space="preserve">olicy </w:t>
      </w:r>
      <w:r w:rsidRPr="00641DF0">
        <w:t>S</w:t>
      </w:r>
      <w:r>
        <w:t>tatement</w:t>
      </w:r>
      <w:r w:rsidR="0051455E">
        <w:t xml:space="preserve"> 2</w:t>
      </w:r>
      <w:r w:rsidRPr="00641DF0">
        <w:t>– Chapter 6: Governance of Research Ethics Review (see Chapter 6 Part D)</w:t>
      </w:r>
      <w:r>
        <w:t>,</w:t>
      </w:r>
      <w:r w:rsidR="0051455E" w:rsidRPr="0051455E">
        <w:t xml:space="preserve"> </w:t>
      </w:r>
      <w:r w:rsidR="0051455E">
        <w:t xml:space="preserve">February 25, 2018, </w:t>
      </w:r>
      <w:r>
        <w:t xml:space="preserve"> </w:t>
      </w:r>
      <w:hyperlink r:id="rId13" w:anchor="d" w:history="1">
        <w:r w:rsidRPr="006376B1">
          <w:rPr>
            <w:rStyle w:val="Hyperlink"/>
          </w:rPr>
          <w:t>https://ethics.gc.ca/eng/tcps2-eptc2_2018_chapter6-chapitre6.html#d</w:t>
        </w:r>
      </w:hyperlink>
    </w:p>
    <w:p w14:paraId="31042174" w14:textId="4792D779" w:rsidR="00641DF0" w:rsidRDefault="00F60867" w:rsidP="00036416">
      <w:pPr>
        <w:pStyle w:val="ListParagraph"/>
        <w:numPr>
          <w:ilvl w:val="0"/>
          <w:numId w:val="1"/>
        </w:numPr>
        <w:spacing w:after="0"/>
      </w:pPr>
      <w:r>
        <w:t xml:space="preserve">Institutional Review Board (IRB) Review of Individual Patient Expanded Access Requests for Investigational Drugs and Biological Products During the COVID-19 Public Health Emergency: Guidance for IRBs and Clinical Investigators, June 2020, </w:t>
      </w:r>
      <w:hyperlink r:id="rId14" w:history="1">
        <w:r w:rsidR="00641DF0" w:rsidRPr="006376B1">
          <w:rPr>
            <w:rStyle w:val="Hyperlink"/>
          </w:rPr>
          <w:t>https://www.fda.gov/regulatory-information/search-fda-guidance-documents/institutional-review-board-irb-review-individual-</w:t>
        </w:r>
        <w:r w:rsidR="00641DF0" w:rsidRPr="006376B1">
          <w:rPr>
            <w:rStyle w:val="Hyperlink"/>
          </w:rPr>
          <w:lastRenderedPageBreak/>
          <w:t>patient-expanded-access-requests-investigational?utm_campaign=FDA%20publishes%20guidance%20for%20IRBs%20and%20clinical%20investigators&amp;utm_medium=email&amp;utm_source=Eloqua</w:t>
        </w:r>
      </w:hyperlink>
    </w:p>
    <w:p w14:paraId="3F190EE6" w14:textId="73A161E2" w:rsidR="00D732B6" w:rsidRPr="00D161E6" w:rsidRDefault="0051455E" w:rsidP="00036416">
      <w:pPr>
        <w:pStyle w:val="ListParagraph"/>
        <w:numPr>
          <w:ilvl w:val="0"/>
          <w:numId w:val="1"/>
        </w:numPr>
        <w:rPr>
          <w:rStyle w:val="Hyperlink"/>
          <w:color w:val="auto"/>
          <w:u w:val="none"/>
        </w:rPr>
      </w:pPr>
      <w:r>
        <w:t>Guideline on Compassionate Use of Medicinal Products, pursuant to Article 83 of Regulation (EC) No. 726/2004, July 2007,</w:t>
      </w:r>
      <w:hyperlink r:id="rId15" w:history="1">
        <w:r w:rsidRPr="006376B1">
          <w:rPr>
            <w:rStyle w:val="Hyperlink"/>
          </w:rPr>
          <w:t>https://www.ema.europa.eu/en/documents/regulatory-procedural-guideline/guideline-compassionate-use-medicinal-products-pursuant-article-83-regulation-ec-no-726/2004_en.pdf</w:t>
        </w:r>
      </w:hyperlink>
    </w:p>
    <w:p w14:paraId="3562E2AF" w14:textId="6043102E" w:rsidR="00641DF0" w:rsidRPr="00641DF0" w:rsidRDefault="00535F7B" w:rsidP="00641DF0">
      <w:pPr>
        <w:pStyle w:val="ListParagraph"/>
        <w:ind w:left="630"/>
        <w:rPr>
          <w:rFonts w:cs="Times New Roman"/>
          <w:i/>
        </w:rPr>
      </w:pPr>
      <w:r>
        <w:t xml:space="preserve">ICH </w:t>
      </w:r>
      <w:r w:rsidR="009B2ACF">
        <w:t>Harmonized</w:t>
      </w:r>
      <w:r>
        <w:t xml:space="preserve"> Tripartite Guideline on Clinical Safety Data Management: Definitions and Standards for Expedited Reporting, E2A, October 1994, </w:t>
      </w:r>
      <w:r w:rsidRPr="00535F7B">
        <w:t>https://database.ich.org/sites/default/files/E2A_Guidelin</w:t>
      </w:r>
    </w:p>
    <w:sectPr w:rsidR="00641DF0" w:rsidRPr="00641DF0" w:rsidSect="000C5B88">
      <w:headerReference w:type="default"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099BD" w14:textId="77777777" w:rsidR="00383C1B" w:rsidRDefault="00383C1B" w:rsidP="00B60C83">
      <w:pPr>
        <w:spacing w:after="0" w:line="240" w:lineRule="auto"/>
      </w:pPr>
      <w:r>
        <w:separator/>
      </w:r>
    </w:p>
  </w:endnote>
  <w:endnote w:type="continuationSeparator" w:id="0">
    <w:p w14:paraId="51C94FEC" w14:textId="77777777" w:rsidR="00383C1B" w:rsidRDefault="00383C1B" w:rsidP="00B60C83">
      <w:pPr>
        <w:spacing w:after="0" w:line="240" w:lineRule="auto"/>
      </w:pPr>
      <w:r>
        <w:continuationSeparator/>
      </w:r>
    </w:p>
  </w:endnote>
  <w:endnote w:type="continuationNotice" w:id="1">
    <w:p w14:paraId="6E7195B2" w14:textId="77777777" w:rsidR="00383C1B" w:rsidRDefault="00383C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tempelGaramond Roman">
    <w:altName w:val="Cambria"/>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992534"/>
      <w:docPartObj>
        <w:docPartGallery w:val="Page Numbers (Bottom of Page)"/>
        <w:docPartUnique/>
      </w:docPartObj>
    </w:sdtPr>
    <w:sdtEndPr/>
    <w:sdtContent>
      <w:sdt>
        <w:sdtPr>
          <w:id w:val="1309901898"/>
          <w:docPartObj>
            <w:docPartGallery w:val="Page Numbers (Top of Page)"/>
            <w:docPartUnique/>
          </w:docPartObj>
        </w:sdtPr>
        <w:sdtEndPr/>
        <w:sdtContent>
          <w:p w14:paraId="3373C2FB" w14:textId="5AA1C042" w:rsidR="00337FBF" w:rsidRDefault="00337FBF" w:rsidP="00CC014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C753F">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C753F">
              <w:rPr>
                <w:b/>
                <w:bCs/>
                <w:noProof/>
              </w:rPr>
              <w:t>13</w:t>
            </w:r>
            <w:r>
              <w:rPr>
                <w:b/>
                <w:bCs/>
                <w:sz w:val="24"/>
                <w:szCs w:val="24"/>
              </w:rPr>
              <w:fldChar w:fldCharType="end"/>
            </w:r>
          </w:p>
        </w:sdtContent>
      </w:sdt>
    </w:sdtContent>
  </w:sdt>
  <w:p w14:paraId="58B4E8B3" w14:textId="77777777" w:rsidR="00337FBF" w:rsidRDefault="00337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1246175"/>
      <w:docPartObj>
        <w:docPartGallery w:val="Page Numbers (Bottom of Page)"/>
        <w:docPartUnique/>
      </w:docPartObj>
    </w:sdtPr>
    <w:sdtEndPr/>
    <w:sdtContent>
      <w:sdt>
        <w:sdtPr>
          <w:id w:val="-30806982"/>
          <w:docPartObj>
            <w:docPartGallery w:val="Page Numbers (Top of Page)"/>
            <w:docPartUnique/>
          </w:docPartObj>
        </w:sdtPr>
        <w:sdtEndPr/>
        <w:sdtContent>
          <w:p w14:paraId="66CDAFCC" w14:textId="5810C064" w:rsidR="00337FBF" w:rsidRDefault="00337FBF" w:rsidP="00FB49C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C753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C753F">
              <w:rPr>
                <w:b/>
                <w:bCs/>
                <w:noProof/>
              </w:rPr>
              <w:t>13</w:t>
            </w:r>
            <w:r>
              <w:rPr>
                <w:b/>
                <w:bCs/>
                <w:sz w:val="24"/>
                <w:szCs w:val="24"/>
              </w:rPr>
              <w:fldChar w:fldCharType="end"/>
            </w:r>
          </w:p>
        </w:sdtContent>
      </w:sdt>
    </w:sdtContent>
  </w:sdt>
  <w:p w14:paraId="5F7A8446" w14:textId="77777777" w:rsidR="00337FBF" w:rsidRDefault="00337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BACED" w14:textId="77777777" w:rsidR="00383C1B" w:rsidRDefault="00383C1B" w:rsidP="00B60C83">
      <w:pPr>
        <w:spacing w:after="0" w:line="240" w:lineRule="auto"/>
      </w:pPr>
      <w:r>
        <w:separator/>
      </w:r>
    </w:p>
  </w:footnote>
  <w:footnote w:type="continuationSeparator" w:id="0">
    <w:p w14:paraId="2F4AC942" w14:textId="77777777" w:rsidR="00383C1B" w:rsidRDefault="00383C1B" w:rsidP="00B60C83">
      <w:pPr>
        <w:spacing w:after="0" w:line="240" w:lineRule="auto"/>
      </w:pPr>
      <w:r>
        <w:continuationSeparator/>
      </w:r>
    </w:p>
  </w:footnote>
  <w:footnote w:type="continuationNotice" w:id="1">
    <w:p w14:paraId="1F635714" w14:textId="77777777" w:rsidR="00383C1B" w:rsidRDefault="00383C1B">
      <w:pPr>
        <w:spacing w:after="0" w:line="240" w:lineRule="auto"/>
      </w:pPr>
    </w:p>
  </w:footnote>
  <w:footnote w:id="2">
    <w:p w14:paraId="7D9FC740" w14:textId="4543E950" w:rsidR="00337FBF" w:rsidRDefault="00337FBF">
      <w:pPr>
        <w:pStyle w:val="FootnoteText"/>
      </w:pPr>
      <w:r>
        <w:rPr>
          <w:rStyle w:val="FootnoteReference"/>
        </w:rPr>
        <w:footnoteRef/>
      </w:r>
      <w:r>
        <w:t xml:space="preserve"> </w:t>
      </w:r>
      <w:hyperlink r:id="rId1" w:history="1">
        <w:r w:rsidRPr="00D0693B">
          <w:rPr>
            <w:rStyle w:val="Hyperlink"/>
          </w:rPr>
          <w:t>https://www.afro.who.int/publications/african-vaccine-regulatory-forum-avaref-strategy-and-guidance-emergency-preparedness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8AAD2" w14:textId="325561B4" w:rsidR="00337FBF" w:rsidRDefault="00337FBF" w:rsidP="00D6067B">
    <w:pPr>
      <w:pStyle w:val="Header"/>
      <w:jc w:val="center"/>
    </w:pPr>
  </w:p>
  <w:p w14:paraId="23B5CFBF" w14:textId="32C7EFD7" w:rsidR="00337FBF" w:rsidRDefault="00337FBF" w:rsidP="007E5E4E">
    <w:pPr>
      <w:pStyle w:val="Header"/>
      <w:rPr>
        <w:i/>
        <w:color w:val="808080" w:themeColor="background1" w:themeShade="80"/>
      </w:rPr>
    </w:pPr>
    <w:r>
      <w:rPr>
        <w:i/>
        <w:color w:val="808080" w:themeColor="background1" w:themeShade="80"/>
      </w:rPr>
      <w:t>Compassionate Use Guideline for Medicines in Public Health Emergencies and Individual Patients</w:t>
    </w:r>
  </w:p>
  <w:p w14:paraId="3FB9173F" w14:textId="70922CA7" w:rsidR="00FF2EF0" w:rsidRPr="00BC78A9" w:rsidRDefault="00FF2EF0" w:rsidP="00FF2EF0">
    <w:pPr>
      <w:pStyle w:val="Header"/>
      <w:jc w:val="center"/>
      <w:rPr>
        <w:i/>
        <w:color w:val="808080" w:themeColor="background1" w:themeShade="80"/>
      </w:rPr>
    </w:pPr>
    <w:r>
      <w:rPr>
        <w:i/>
        <w:color w:val="808080" w:themeColor="background1" w:themeShade="80"/>
      </w:rPr>
      <w:t>AVAREF2021-CUG</w:t>
    </w:r>
  </w:p>
  <w:p w14:paraId="00928BEC" w14:textId="16E08D6A" w:rsidR="00337FBF" w:rsidRDefault="00337FBF" w:rsidP="007E5E4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068CF" w14:textId="675A8F21" w:rsidR="00337FBF" w:rsidRDefault="00337FBF" w:rsidP="000C5B88">
    <w:pPr>
      <w:pStyle w:val="Header"/>
      <w:jc w:val="center"/>
      <w:rPr>
        <w:i/>
        <w:color w:val="808080" w:themeColor="background1" w:themeShade="80"/>
      </w:rPr>
    </w:pPr>
    <w:r>
      <w:rPr>
        <w:i/>
        <w:color w:val="808080" w:themeColor="background1" w:themeShade="80"/>
      </w:rPr>
      <w:t>AVAREF Guidance and Considerations on Compassionate Use</w:t>
    </w:r>
    <w:r w:rsidR="007250FF">
      <w:rPr>
        <w:i/>
        <w:color w:val="808080" w:themeColor="background1" w:themeShade="80"/>
      </w:rPr>
      <w:t xml:space="preserve"> Access</w:t>
    </w:r>
  </w:p>
  <w:p w14:paraId="1831E1D2" w14:textId="689C4111" w:rsidR="00FF2EF0" w:rsidRPr="00BC78A9" w:rsidRDefault="00FF2EF0" w:rsidP="000C5B88">
    <w:pPr>
      <w:pStyle w:val="Header"/>
      <w:jc w:val="center"/>
      <w:rPr>
        <w:i/>
        <w:color w:val="808080" w:themeColor="background1" w:themeShade="80"/>
      </w:rPr>
    </w:pPr>
    <w:r>
      <w:rPr>
        <w:i/>
        <w:color w:val="808080" w:themeColor="background1" w:themeShade="80"/>
      </w:rPr>
      <w:t>AVAREF2021-CUG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C3897"/>
    <w:multiLevelType w:val="multilevel"/>
    <w:tmpl w:val="4C466E8E"/>
    <w:lvl w:ilvl="0">
      <w:start w:val="1"/>
      <w:numFmt w:val="decimal"/>
      <w:lvlText w:val="%1.0"/>
      <w:lvlJc w:val="left"/>
      <w:pPr>
        <w:ind w:left="364" w:hanging="420"/>
      </w:pPr>
      <w:rPr>
        <w:rFonts w:hint="default"/>
      </w:rPr>
    </w:lvl>
    <w:lvl w:ilvl="1">
      <w:start w:val="1"/>
      <w:numFmt w:val="decimal"/>
      <w:lvlText w:val="%1.%2"/>
      <w:lvlJc w:val="left"/>
      <w:pPr>
        <w:ind w:left="1084" w:hanging="420"/>
      </w:pPr>
      <w:rPr>
        <w:rFonts w:hint="default"/>
      </w:rPr>
    </w:lvl>
    <w:lvl w:ilvl="2">
      <w:start w:val="1"/>
      <w:numFmt w:val="decimal"/>
      <w:lvlText w:val="%1.%2.%3"/>
      <w:lvlJc w:val="left"/>
      <w:pPr>
        <w:ind w:left="2104" w:hanging="720"/>
      </w:pPr>
      <w:rPr>
        <w:rFonts w:hint="default"/>
      </w:rPr>
    </w:lvl>
    <w:lvl w:ilvl="3">
      <w:start w:val="1"/>
      <w:numFmt w:val="decimal"/>
      <w:lvlText w:val="%1.%2.%3.%4"/>
      <w:lvlJc w:val="left"/>
      <w:pPr>
        <w:ind w:left="3184"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84" w:hanging="1440"/>
      </w:pPr>
      <w:rPr>
        <w:rFonts w:hint="default"/>
      </w:rPr>
    </w:lvl>
    <w:lvl w:ilvl="6">
      <w:start w:val="1"/>
      <w:numFmt w:val="decimal"/>
      <w:lvlText w:val="%1.%2.%3.%4.%5.%6.%7"/>
      <w:lvlJc w:val="left"/>
      <w:pPr>
        <w:ind w:left="5704" w:hanging="144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64" w:hanging="2160"/>
      </w:pPr>
      <w:rPr>
        <w:rFonts w:hint="default"/>
      </w:rPr>
    </w:lvl>
  </w:abstractNum>
  <w:abstractNum w:abstractNumId="1" w15:restartNumberingAfterBreak="0">
    <w:nsid w:val="0D095693"/>
    <w:multiLevelType w:val="hybridMultilevel"/>
    <w:tmpl w:val="A692C5E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DF8277D"/>
    <w:multiLevelType w:val="hybridMultilevel"/>
    <w:tmpl w:val="2D76887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0FE44770"/>
    <w:multiLevelType w:val="hybridMultilevel"/>
    <w:tmpl w:val="8F762ABC"/>
    <w:lvl w:ilvl="0" w:tplc="2A648828">
      <w:numFmt w:val="bullet"/>
      <w:lvlText w:val="•"/>
      <w:lvlJc w:val="left"/>
      <w:pPr>
        <w:ind w:left="820" w:hanging="360"/>
      </w:pPr>
      <w:rPr>
        <w:rFonts w:ascii="Times New Roman" w:eastAsia="Times New Roman"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11AF2919"/>
    <w:multiLevelType w:val="hybridMultilevel"/>
    <w:tmpl w:val="CA023950"/>
    <w:lvl w:ilvl="0" w:tplc="F6FA93B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614D8"/>
    <w:multiLevelType w:val="hybridMultilevel"/>
    <w:tmpl w:val="A85AF6E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27E2547E"/>
    <w:multiLevelType w:val="multilevel"/>
    <w:tmpl w:val="722223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EC70B9A"/>
    <w:multiLevelType w:val="hybridMultilevel"/>
    <w:tmpl w:val="02B05402"/>
    <w:lvl w:ilvl="0" w:tplc="04090001">
      <w:start w:val="1"/>
      <w:numFmt w:val="bullet"/>
      <w:lvlText w:val=""/>
      <w:lvlJc w:val="left"/>
      <w:pPr>
        <w:ind w:left="820" w:hanging="360"/>
      </w:pPr>
      <w:rPr>
        <w:rFonts w:ascii="Symbol" w:hAnsi="Symbol" w:hint="default"/>
      </w:rPr>
    </w:lvl>
    <w:lvl w:ilvl="1" w:tplc="2A648828">
      <w:numFmt w:val="bullet"/>
      <w:lvlText w:val="•"/>
      <w:lvlJc w:val="left"/>
      <w:pPr>
        <w:ind w:left="1795" w:hanging="615"/>
      </w:pPr>
      <w:rPr>
        <w:rFonts w:ascii="Times New Roman" w:eastAsia="Times New Roman" w:hAnsi="Times New Roman" w:cs="Times New Roman"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54EA5631"/>
    <w:multiLevelType w:val="hybridMultilevel"/>
    <w:tmpl w:val="A50080F8"/>
    <w:lvl w:ilvl="0" w:tplc="2A648828">
      <w:numFmt w:val="bullet"/>
      <w:lvlText w:val="•"/>
      <w:lvlJc w:val="left"/>
      <w:pPr>
        <w:ind w:left="820" w:hanging="360"/>
      </w:pPr>
      <w:rPr>
        <w:rFonts w:ascii="Times New Roman" w:eastAsia="Times New Roman"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55E46426"/>
    <w:multiLevelType w:val="hybridMultilevel"/>
    <w:tmpl w:val="8508227C"/>
    <w:lvl w:ilvl="0" w:tplc="2A64882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CF91963"/>
    <w:multiLevelType w:val="hybridMultilevel"/>
    <w:tmpl w:val="7682F6B8"/>
    <w:lvl w:ilvl="0" w:tplc="F6FA93B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EA63F36"/>
    <w:multiLevelType w:val="hybridMultilevel"/>
    <w:tmpl w:val="7CCE80A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64804EA0"/>
    <w:multiLevelType w:val="hybridMultilevel"/>
    <w:tmpl w:val="EF10D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986624"/>
    <w:multiLevelType w:val="hybridMultilevel"/>
    <w:tmpl w:val="8C506660"/>
    <w:lvl w:ilvl="0" w:tplc="2A648828">
      <w:numFmt w:val="bullet"/>
      <w:lvlText w:val="•"/>
      <w:lvlJc w:val="left"/>
      <w:pPr>
        <w:ind w:left="820" w:hanging="360"/>
      </w:pPr>
      <w:rPr>
        <w:rFonts w:ascii="Times New Roman" w:eastAsia="Times New Roman"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6B09119B"/>
    <w:multiLevelType w:val="hybridMultilevel"/>
    <w:tmpl w:val="2250D632"/>
    <w:lvl w:ilvl="0" w:tplc="2A648828">
      <w:numFmt w:val="bullet"/>
      <w:lvlText w:val="•"/>
      <w:lvlJc w:val="left"/>
      <w:pPr>
        <w:ind w:left="820" w:hanging="360"/>
      </w:pPr>
      <w:rPr>
        <w:rFonts w:ascii="Times New Roman" w:eastAsia="Times New Roman"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72910296"/>
    <w:multiLevelType w:val="hybridMultilevel"/>
    <w:tmpl w:val="A724A99A"/>
    <w:lvl w:ilvl="0" w:tplc="2D4076D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C7502B"/>
    <w:multiLevelType w:val="hybridMultilevel"/>
    <w:tmpl w:val="719AB59A"/>
    <w:lvl w:ilvl="0" w:tplc="CA86289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7D43FBE"/>
    <w:multiLevelType w:val="hybridMultilevel"/>
    <w:tmpl w:val="22383D0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12"/>
  </w:num>
  <w:num w:numId="2">
    <w:abstractNumId w:val="2"/>
  </w:num>
  <w:num w:numId="3">
    <w:abstractNumId w:val="5"/>
  </w:num>
  <w:num w:numId="4">
    <w:abstractNumId w:val="7"/>
  </w:num>
  <w:num w:numId="5">
    <w:abstractNumId w:val="1"/>
  </w:num>
  <w:num w:numId="6">
    <w:abstractNumId w:val="17"/>
  </w:num>
  <w:num w:numId="7">
    <w:abstractNumId w:val="11"/>
  </w:num>
  <w:num w:numId="8">
    <w:abstractNumId w:val="8"/>
  </w:num>
  <w:num w:numId="9">
    <w:abstractNumId w:val="13"/>
  </w:num>
  <w:num w:numId="10">
    <w:abstractNumId w:val="16"/>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0"/>
  </w:num>
  <w:num w:numId="23">
    <w:abstractNumId w:val="4"/>
  </w:num>
  <w:num w:numId="24">
    <w:abstractNumId w:val="15"/>
  </w:num>
  <w:num w:numId="25">
    <w:abstractNumId w:val="9"/>
  </w:num>
  <w:num w:numId="26">
    <w:abstractNumId w:val="14"/>
  </w:num>
  <w:num w:numId="2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924"/>
    <w:rsid w:val="00000EB3"/>
    <w:rsid w:val="00001B81"/>
    <w:rsid w:val="00003004"/>
    <w:rsid w:val="00003E88"/>
    <w:rsid w:val="000044F3"/>
    <w:rsid w:val="0000629C"/>
    <w:rsid w:val="00006E94"/>
    <w:rsid w:val="000109DA"/>
    <w:rsid w:val="00010B2F"/>
    <w:rsid w:val="000111B0"/>
    <w:rsid w:val="00012F0A"/>
    <w:rsid w:val="000131A4"/>
    <w:rsid w:val="000141A0"/>
    <w:rsid w:val="000145A4"/>
    <w:rsid w:val="00015EB4"/>
    <w:rsid w:val="00016CB0"/>
    <w:rsid w:val="00021A0D"/>
    <w:rsid w:val="0002216B"/>
    <w:rsid w:val="0002585A"/>
    <w:rsid w:val="00030B4C"/>
    <w:rsid w:val="000322EF"/>
    <w:rsid w:val="00032516"/>
    <w:rsid w:val="000327E8"/>
    <w:rsid w:val="00032C75"/>
    <w:rsid w:val="00035C89"/>
    <w:rsid w:val="00036416"/>
    <w:rsid w:val="000369D6"/>
    <w:rsid w:val="00037A17"/>
    <w:rsid w:val="00037AEE"/>
    <w:rsid w:val="000414E5"/>
    <w:rsid w:val="00041ED6"/>
    <w:rsid w:val="00042C2E"/>
    <w:rsid w:val="00042D4E"/>
    <w:rsid w:val="000443DF"/>
    <w:rsid w:val="0004468F"/>
    <w:rsid w:val="000447FA"/>
    <w:rsid w:val="00044F1F"/>
    <w:rsid w:val="00046214"/>
    <w:rsid w:val="00052316"/>
    <w:rsid w:val="00053F49"/>
    <w:rsid w:val="000542F4"/>
    <w:rsid w:val="00055C68"/>
    <w:rsid w:val="00056D83"/>
    <w:rsid w:val="00061AD6"/>
    <w:rsid w:val="0006246C"/>
    <w:rsid w:val="00063F97"/>
    <w:rsid w:val="00065A96"/>
    <w:rsid w:val="00066054"/>
    <w:rsid w:val="00067F60"/>
    <w:rsid w:val="00071925"/>
    <w:rsid w:val="000723A4"/>
    <w:rsid w:val="000724B0"/>
    <w:rsid w:val="00072B43"/>
    <w:rsid w:val="00073491"/>
    <w:rsid w:val="00075F78"/>
    <w:rsid w:val="00076D06"/>
    <w:rsid w:val="00080637"/>
    <w:rsid w:val="00081ECB"/>
    <w:rsid w:val="00086704"/>
    <w:rsid w:val="00086852"/>
    <w:rsid w:val="000869F9"/>
    <w:rsid w:val="00095B8C"/>
    <w:rsid w:val="00097919"/>
    <w:rsid w:val="00097D9B"/>
    <w:rsid w:val="000A0BF1"/>
    <w:rsid w:val="000A12B7"/>
    <w:rsid w:val="000B025B"/>
    <w:rsid w:val="000B2374"/>
    <w:rsid w:val="000B30C6"/>
    <w:rsid w:val="000B3341"/>
    <w:rsid w:val="000B3F1A"/>
    <w:rsid w:val="000B7CD1"/>
    <w:rsid w:val="000C25BB"/>
    <w:rsid w:val="000C2A2C"/>
    <w:rsid w:val="000C5B88"/>
    <w:rsid w:val="000C6F55"/>
    <w:rsid w:val="000D0348"/>
    <w:rsid w:val="000D11B4"/>
    <w:rsid w:val="000D2BA4"/>
    <w:rsid w:val="000D5070"/>
    <w:rsid w:val="000F1198"/>
    <w:rsid w:val="000F5A28"/>
    <w:rsid w:val="000F5D72"/>
    <w:rsid w:val="000F61AF"/>
    <w:rsid w:val="000F6A68"/>
    <w:rsid w:val="00100BE8"/>
    <w:rsid w:val="0010190E"/>
    <w:rsid w:val="001056E5"/>
    <w:rsid w:val="00105730"/>
    <w:rsid w:val="00110422"/>
    <w:rsid w:val="00111AAB"/>
    <w:rsid w:val="00115B59"/>
    <w:rsid w:val="001167B4"/>
    <w:rsid w:val="00116A05"/>
    <w:rsid w:val="00116DB7"/>
    <w:rsid w:val="001206E6"/>
    <w:rsid w:val="0012315E"/>
    <w:rsid w:val="00124407"/>
    <w:rsid w:val="00124E03"/>
    <w:rsid w:val="00126003"/>
    <w:rsid w:val="00126506"/>
    <w:rsid w:val="00131B53"/>
    <w:rsid w:val="00131D74"/>
    <w:rsid w:val="001348EA"/>
    <w:rsid w:val="00135406"/>
    <w:rsid w:val="00140934"/>
    <w:rsid w:val="00140E71"/>
    <w:rsid w:val="0014150B"/>
    <w:rsid w:val="0014504C"/>
    <w:rsid w:val="001450F2"/>
    <w:rsid w:val="00146353"/>
    <w:rsid w:val="001466EE"/>
    <w:rsid w:val="001507AA"/>
    <w:rsid w:val="001529A5"/>
    <w:rsid w:val="0015441D"/>
    <w:rsid w:val="001571E9"/>
    <w:rsid w:val="00162282"/>
    <w:rsid w:val="00163088"/>
    <w:rsid w:val="001650DD"/>
    <w:rsid w:val="001668F6"/>
    <w:rsid w:val="00170C60"/>
    <w:rsid w:val="00170D1F"/>
    <w:rsid w:val="001729F2"/>
    <w:rsid w:val="00183AD6"/>
    <w:rsid w:val="001844AA"/>
    <w:rsid w:val="001859CD"/>
    <w:rsid w:val="00187CBA"/>
    <w:rsid w:val="00193427"/>
    <w:rsid w:val="00194BD6"/>
    <w:rsid w:val="00196EAD"/>
    <w:rsid w:val="00197B47"/>
    <w:rsid w:val="001A0B36"/>
    <w:rsid w:val="001A0D75"/>
    <w:rsid w:val="001A31A9"/>
    <w:rsid w:val="001B059F"/>
    <w:rsid w:val="001B13D4"/>
    <w:rsid w:val="001B186B"/>
    <w:rsid w:val="001B2C03"/>
    <w:rsid w:val="001C1347"/>
    <w:rsid w:val="001C2814"/>
    <w:rsid w:val="001C40D3"/>
    <w:rsid w:val="001C7922"/>
    <w:rsid w:val="001D0A66"/>
    <w:rsid w:val="001D48BF"/>
    <w:rsid w:val="001D6BDC"/>
    <w:rsid w:val="001D7613"/>
    <w:rsid w:val="001E137A"/>
    <w:rsid w:val="001E1517"/>
    <w:rsid w:val="001E5561"/>
    <w:rsid w:val="001E5E2A"/>
    <w:rsid w:val="001E6E09"/>
    <w:rsid w:val="001F0CB7"/>
    <w:rsid w:val="001F2A3A"/>
    <w:rsid w:val="001F6CF5"/>
    <w:rsid w:val="001F7D3F"/>
    <w:rsid w:val="0020222A"/>
    <w:rsid w:val="002035BD"/>
    <w:rsid w:val="00206118"/>
    <w:rsid w:val="002115F5"/>
    <w:rsid w:val="0021194E"/>
    <w:rsid w:val="00212A75"/>
    <w:rsid w:val="00215425"/>
    <w:rsid w:val="00216602"/>
    <w:rsid w:val="00217103"/>
    <w:rsid w:val="0021728B"/>
    <w:rsid w:val="00217CF1"/>
    <w:rsid w:val="0022238A"/>
    <w:rsid w:val="00224D7F"/>
    <w:rsid w:val="002252A0"/>
    <w:rsid w:val="00225B4F"/>
    <w:rsid w:val="002268FC"/>
    <w:rsid w:val="002300E1"/>
    <w:rsid w:val="00233507"/>
    <w:rsid w:val="002378A6"/>
    <w:rsid w:val="00240C9B"/>
    <w:rsid w:val="0024281C"/>
    <w:rsid w:val="00244273"/>
    <w:rsid w:val="002446A3"/>
    <w:rsid w:val="002447F9"/>
    <w:rsid w:val="00244C69"/>
    <w:rsid w:val="0025065E"/>
    <w:rsid w:val="00254ADD"/>
    <w:rsid w:val="002668BF"/>
    <w:rsid w:val="00267B33"/>
    <w:rsid w:val="00267F50"/>
    <w:rsid w:val="00270EA4"/>
    <w:rsid w:val="00273004"/>
    <w:rsid w:val="00273F1B"/>
    <w:rsid w:val="00274D83"/>
    <w:rsid w:val="00277BD5"/>
    <w:rsid w:val="00281597"/>
    <w:rsid w:val="002823FA"/>
    <w:rsid w:val="0028348D"/>
    <w:rsid w:val="00292FEA"/>
    <w:rsid w:val="00294151"/>
    <w:rsid w:val="00295182"/>
    <w:rsid w:val="002962D0"/>
    <w:rsid w:val="002967B6"/>
    <w:rsid w:val="002A2C38"/>
    <w:rsid w:val="002A3B7E"/>
    <w:rsid w:val="002B03BE"/>
    <w:rsid w:val="002B4E83"/>
    <w:rsid w:val="002B6426"/>
    <w:rsid w:val="002C4422"/>
    <w:rsid w:val="002C4B4C"/>
    <w:rsid w:val="002C624D"/>
    <w:rsid w:val="002C6668"/>
    <w:rsid w:val="002C6A9B"/>
    <w:rsid w:val="002C7465"/>
    <w:rsid w:val="002D0082"/>
    <w:rsid w:val="002D1CCC"/>
    <w:rsid w:val="002D1F83"/>
    <w:rsid w:val="002D2447"/>
    <w:rsid w:val="002D290E"/>
    <w:rsid w:val="002E2054"/>
    <w:rsid w:val="002E3A66"/>
    <w:rsid w:val="002E5437"/>
    <w:rsid w:val="002F0BE6"/>
    <w:rsid w:val="002F2580"/>
    <w:rsid w:val="002F28EE"/>
    <w:rsid w:val="002F64AA"/>
    <w:rsid w:val="002F7B11"/>
    <w:rsid w:val="00302D4A"/>
    <w:rsid w:val="00303178"/>
    <w:rsid w:val="00306015"/>
    <w:rsid w:val="003065D4"/>
    <w:rsid w:val="00306738"/>
    <w:rsid w:val="003101B1"/>
    <w:rsid w:val="00312C0C"/>
    <w:rsid w:val="00314C36"/>
    <w:rsid w:val="00314FED"/>
    <w:rsid w:val="00315257"/>
    <w:rsid w:val="00320C8C"/>
    <w:rsid w:val="0032102C"/>
    <w:rsid w:val="0032584E"/>
    <w:rsid w:val="00325CE2"/>
    <w:rsid w:val="00330970"/>
    <w:rsid w:val="00331C43"/>
    <w:rsid w:val="00332042"/>
    <w:rsid w:val="003334F8"/>
    <w:rsid w:val="00337FBF"/>
    <w:rsid w:val="0034235E"/>
    <w:rsid w:val="00342950"/>
    <w:rsid w:val="00344189"/>
    <w:rsid w:val="003450BA"/>
    <w:rsid w:val="00347C36"/>
    <w:rsid w:val="00347D24"/>
    <w:rsid w:val="00350418"/>
    <w:rsid w:val="00351D44"/>
    <w:rsid w:val="00351E44"/>
    <w:rsid w:val="003540F9"/>
    <w:rsid w:val="0035487E"/>
    <w:rsid w:val="00355F9A"/>
    <w:rsid w:val="00360FA3"/>
    <w:rsid w:val="00363B08"/>
    <w:rsid w:val="00363F09"/>
    <w:rsid w:val="00364CDC"/>
    <w:rsid w:val="0036728C"/>
    <w:rsid w:val="00367D3C"/>
    <w:rsid w:val="003704D9"/>
    <w:rsid w:val="00371506"/>
    <w:rsid w:val="003727A7"/>
    <w:rsid w:val="0037286D"/>
    <w:rsid w:val="00372F09"/>
    <w:rsid w:val="0037533F"/>
    <w:rsid w:val="003761CC"/>
    <w:rsid w:val="00381584"/>
    <w:rsid w:val="00381EA0"/>
    <w:rsid w:val="00382DDC"/>
    <w:rsid w:val="00383C1B"/>
    <w:rsid w:val="00384FC4"/>
    <w:rsid w:val="003867DD"/>
    <w:rsid w:val="00386B6D"/>
    <w:rsid w:val="003900A3"/>
    <w:rsid w:val="00392B69"/>
    <w:rsid w:val="00393DEA"/>
    <w:rsid w:val="003944A6"/>
    <w:rsid w:val="00397FE3"/>
    <w:rsid w:val="003A1FA5"/>
    <w:rsid w:val="003A4312"/>
    <w:rsid w:val="003A4775"/>
    <w:rsid w:val="003A68C7"/>
    <w:rsid w:val="003B0224"/>
    <w:rsid w:val="003B056A"/>
    <w:rsid w:val="003B200C"/>
    <w:rsid w:val="003B237B"/>
    <w:rsid w:val="003B547C"/>
    <w:rsid w:val="003B7792"/>
    <w:rsid w:val="003B7E48"/>
    <w:rsid w:val="003C245F"/>
    <w:rsid w:val="003D20E7"/>
    <w:rsid w:val="003D3332"/>
    <w:rsid w:val="003D767B"/>
    <w:rsid w:val="003E0972"/>
    <w:rsid w:val="003E11EE"/>
    <w:rsid w:val="003E33EE"/>
    <w:rsid w:val="003E3FA3"/>
    <w:rsid w:val="003E5D21"/>
    <w:rsid w:val="003F0C7C"/>
    <w:rsid w:val="003F11E8"/>
    <w:rsid w:val="003F1488"/>
    <w:rsid w:val="003F3479"/>
    <w:rsid w:val="003F54E4"/>
    <w:rsid w:val="00404ECD"/>
    <w:rsid w:val="004058BB"/>
    <w:rsid w:val="00405EDD"/>
    <w:rsid w:val="004070FD"/>
    <w:rsid w:val="004079D1"/>
    <w:rsid w:val="00407BF7"/>
    <w:rsid w:val="00415213"/>
    <w:rsid w:val="0041668E"/>
    <w:rsid w:val="00416F1D"/>
    <w:rsid w:val="00421390"/>
    <w:rsid w:val="00424962"/>
    <w:rsid w:val="00425B6D"/>
    <w:rsid w:val="00431279"/>
    <w:rsid w:val="0043166B"/>
    <w:rsid w:val="004319B0"/>
    <w:rsid w:val="004324C8"/>
    <w:rsid w:val="0043258D"/>
    <w:rsid w:val="00432D74"/>
    <w:rsid w:val="00433391"/>
    <w:rsid w:val="00433989"/>
    <w:rsid w:val="00436D14"/>
    <w:rsid w:val="00441A2F"/>
    <w:rsid w:val="00441E6B"/>
    <w:rsid w:val="004426D6"/>
    <w:rsid w:val="004455D5"/>
    <w:rsid w:val="00450D93"/>
    <w:rsid w:val="00451397"/>
    <w:rsid w:val="00452C7B"/>
    <w:rsid w:val="00464AE8"/>
    <w:rsid w:val="004659B9"/>
    <w:rsid w:val="00466970"/>
    <w:rsid w:val="00467F49"/>
    <w:rsid w:val="00470EA8"/>
    <w:rsid w:val="00471767"/>
    <w:rsid w:val="00472DA6"/>
    <w:rsid w:val="004731AB"/>
    <w:rsid w:val="00474A5C"/>
    <w:rsid w:val="00480730"/>
    <w:rsid w:val="004860D2"/>
    <w:rsid w:val="00487891"/>
    <w:rsid w:val="0048793C"/>
    <w:rsid w:val="00491005"/>
    <w:rsid w:val="00494501"/>
    <w:rsid w:val="0049640E"/>
    <w:rsid w:val="004A09EC"/>
    <w:rsid w:val="004A1320"/>
    <w:rsid w:val="004A2BB5"/>
    <w:rsid w:val="004A40C9"/>
    <w:rsid w:val="004A51C6"/>
    <w:rsid w:val="004A542A"/>
    <w:rsid w:val="004A55B4"/>
    <w:rsid w:val="004A7469"/>
    <w:rsid w:val="004B03AC"/>
    <w:rsid w:val="004B1FE9"/>
    <w:rsid w:val="004B2FF1"/>
    <w:rsid w:val="004B34F7"/>
    <w:rsid w:val="004B4062"/>
    <w:rsid w:val="004B59DC"/>
    <w:rsid w:val="004C11B3"/>
    <w:rsid w:val="004C1E39"/>
    <w:rsid w:val="004C729D"/>
    <w:rsid w:val="004D1CA0"/>
    <w:rsid w:val="004D24EB"/>
    <w:rsid w:val="004D39DA"/>
    <w:rsid w:val="004D4EBC"/>
    <w:rsid w:val="004D56FB"/>
    <w:rsid w:val="004D7DAB"/>
    <w:rsid w:val="004E1C95"/>
    <w:rsid w:val="004E36F5"/>
    <w:rsid w:val="004E533F"/>
    <w:rsid w:val="004E66B5"/>
    <w:rsid w:val="004E6959"/>
    <w:rsid w:val="004F139B"/>
    <w:rsid w:val="004F1580"/>
    <w:rsid w:val="004F5E8E"/>
    <w:rsid w:val="00501DE8"/>
    <w:rsid w:val="00503A64"/>
    <w:rsid w:val="00506BC7"/>
    <w:rsid w:val="00506E36"/>
    <w:rsid w:val="005107E4"/>
    <w:rsid w:val="0051455E"/>
    <w:rsid w:val="00515C0A"/>
    <w:rsid w:val="0052098E"/>
    <w:rsid w:val="005213F6"/>
    <w:rsid w:val="00521AB0"/>
    <w:rsid w:val="0052297D"/>
    <w:rsid w:val="0052335A"/>
    <w:rsid w:val="00523F6E"/>
    <w:rsid w:val="00524E57"/>
    <w:rsid w:val="00525D8B"/>
    <w:rsid w:val="00526957"/>
    <w:rsid w:val="00527A3B"/>
    <w:rsid w:val="005323BD"/>
    <w:rsid w:val="0053241C"/>
    <w:rsid w:val="005340CA"/>
    <w:rsid w:val="00535106"/>
    <w:rsid w:val="00535F7B"/>
    <w:rsid w:val="00536843"/>
    <w:rsid w:val="005408EE"/>
    <w:rsid w:val="00544F17"/>
    <w:rsid w:val="00545160"/>
    <w:rsid w:val="00545723"/>
    <w:rsid w:val="00546D39"/>
    <w:rsid w:val="005513A3"/>
    <w:rsid w:val="005517A9"/>
    <w:rsid w:val="00551971"/>
    <w:rsid w:val="005538F4"/>
    <w:rsid w:val="0055430C"/>
    <w:rsid w:val="005562EC"/>
    <w:rsid w:val="00557F80"/>
    <w:rsid w:val="0056124A"/>
    <w:rsid w:val="00562872"/>
    <w:rsid w:val="00563027"/>
    <w:rsid w:val="005646C2"/>
    <w:rsid w:val="00564C1D"/>
    <w:rsid w:val="005658AA"/>
    <w:rsid w:val="00565CCF"/>
    <w:rsid w:val="00566142"/>
    <w:rsid w:val="00567996"/>
    <w:rsid w:val="0057174D"/>
    <w:rsid w:val="00573874"/>
    <w:rsid w:val="00573924"/>
    <w:rsid w:val="005752C6"/>
    <w:rsid w:val="0058627E"/>
    <w:rsid w:val="005912AD"/>
    <w:rsid w:val="00593EA2"/>
    <w:rsid w:val="00595F36"/>
    <w:rsid w:val="0059605A"/>
    <w:rsid w:val="00596B81"/>
    <w:rsid w:val="00597CE5"/>
    <w:rsid w:val="005A2A9C"/>
    <w:rsid w:val="005A3F38"/>
    <w:rsid w:val="005A47B6"/>
    <w:rsid w:val="005A4813"/>
    <w:rsid w:val="005A50FE"/>
    <w:rsid w:val="005A58FD"/>
    <w:rsid w:val="005A776F"/>
    <w:rsid w:val="005A7F3B"/>
    <w:rsid w:val="005B0C60"/>
    <w:rsid w:val="005B1933"/>
    <w:rsid w:val="005B47F3"/>
    <w:rsid w:val="005B4B2D"/>
    <w:rsid w:val="005B7479"/>
    <w:rsid w:val="005C4CF7"/>
    <w:rsid w:val="005D0136"/>
    <w:rsid w:val="005D018E"/>
    <w:rsid w:val="005D181F"/>
    <w:rsid w:val="005D1BBD"/>
    <w:rsid w:val="005D1DC4"/>
    <w:rsid w:val="005D3C1A"/>
    <w:rsid w:val="005D4C49"/>
    <w:rsid w:val="005D4E77"/>
    <w:rsid w:val="005D746B"/>
    <w:rsid w:val="005E107F"/>
    <w:rsid w:val="005E2B44"/>
    <w:rsid w:val="005E39F8"/>
    <w:rsid w:val="005E448D"/>
    <w:rsid w:val="005F0371"/>
    <w:rsid w:val="005F06FB"/>
    <w:rsid w:val="005F09F1"/>
    <w:rsid w:val="005F12C3"/>
    <w:rsid w:val="005F4A45"/>
    <w:rsid w:val="0060169F"/>
    <w:rsid w:val="00604084"/>
    <w:rsid w:val="0061059B"/>
    <w:rsid w:val="00613657"/>
    <w:rsid w:val="0061527E"/>
    <w:rsid w:val="00620722"/>
    <w:rsid w:val="00626808"/>
    <w:rsid w:val="00631E55"/>
    <w:rsid w:val="006331BB"/>
    <w:rsid w:val="006334BA"/>
    <w:rsid w:val="00633E71"/>
    <w:rsid w:val="00635FD6"/>
    <w:rsid w:val="00640E55"/>
    <w:rsid w:val="00641DF0"/>
    <w:rsid w:val="006437E4"/>
    <w:rsid w:val="00644AB7"/>
    <w:rsid w:val="006455BF"/>
    <w:rsid w:val="00645DF1"/>
    <w:rsid w:val="0064748F"/>
    <w:rsid w:val="006502B9"/>
    <w:rsid w:val="00655F8C"/>
    <w:rsid w:val="00660FF9"/>
    <w:rsid w:val="00662E26"/>
    <w:rsid w:val="006643A8"/>
    <w:rsid w:val="006676F5"/>
    <w:rsid w:val="006761FB"/>
    <w:rsid w:val="00676ECB"/>
    <w:rsid w:val="006777AD"/>
    <w:rsid w:val="006830D6"/>
    <w:rsid w:val="00683B29"/>
    <w:rsid w:val="00685853"/>
    <w:rsid w:val="006922F9"/>
    <w:rsid w:val="00694375"/>
    <w:rsid w:val="00695CBA"/>
    <w:rsid w:val="00697DC2"/>
    <w:rsid w:val="006A231A"/>
    <w:rsid w:val="006A503F"/>
    <w:rsid w:val="006A709E"/>
    <w:rsid w:val="006A7C42"/>
    <w:rsid w:val="006B0301"/>
    <w:rsid w:val="006B1FC3"/>
    <w:rsid w:val="006B6AEB"/>
    <w:rsid w:val="006B7196"/>
    <w:rsid w:val="006C1FCA"/>
    <w:rsid w:val="006C2AD1"/>
    <w:rsid w:val="006C33C6"/>
    <w:rsid w:val="006C57F2"/>
    <w:rsid w:val="006C6997"/>
    <w:rsid w:val="006C739F"/>
    <w:rsid w:val="006D1291"/>
    <w:rsid w:val="006D2892"/>
    <w:rsid w:val="006D369C"/>
    <w:rsid w:val="006D4EC1"/>
    <w:rsid w:val="006D6751"/>
    <w:rsid w:val="006E3A2D"/>
    <w:rsid w:val="006E3EDB"/>
    <w:rsid w:val="006E4FA5"/>
    <w:rsid w:val="006E5AAD"/>
    <w:rsid w:val="006E6A00"/>
    <w:rsid w:val="006E7935"/>
    <w:rsid w:val="006F4C39"/>
    <w:rsid w:val="00700137"/>
    <w:rsid w:val="0070084B"/>
    <w:rsid w:val="00703509"/>
    <w:rsid w:val="0071321E"/>
    <w:rsid w:val="00713EC8"/>
    <w:rsid w:val="0071527C"/>
    <w:rsid w:val="00715845"/>
    <w:rsid w:val="00721431"/>
    <w:rsid w:val="0072314B"/>
    <w:rsid w:val="007250FF"/>
    <w:rsid w:val="00726BB1"/>
    <w:rsid w:val="0073308C"/>
    <w:rsid w:val="007369DA"/>
    <w:rsid w:val="00736A83"/>
    <w:rsid w:val="00737BC3"/>
    <w:rsid w:val="00742B0F"/>
    <w:rsid w:val="00742C88"/>
    <w:rsid w:val="00745305"/>
    <w:rsid w:val="00746D9A"/>
    <w:rsid w:val="00750951"/>
    <w:rsid w:val="007520D1"/>
    <w:rsid w:val="007533AA"/>
    <w:rsid w:val="007540A5"/>
    <w:rsid w:val="00755402"/>
    <w:rsid w:val="0075735E"/>
    <w:rsid w:val="00757B4C"/>
    <w:rsid w:val="00757D1F"/>
    <w:rsid w:val="00760827"/>
    <w:rsid w:val="00764EC4"/>
    <w:rsid w:val="00766027"/>
    <w:rsid w:val="007706B7"/>
    <w:rsid w:val="00771769"/>
    <w:rsid w:val="00771CB6"/>
    <w:rsid w:val="00772F39"/>
    <w:rsid w:val="007749B2"/>
    <w:rsid w:val="00774EFA"/>
    <w:rsid w:val="00776238"/>
    <w:rsid w:val="007869BD"/>
    <w:rsid w:val="00786D63"/>
    <w:rsid w:val="007875FF"/>
    <w:rsid w:val="007904F7"/>
    <w:rsid w:val="00792237"/>
    <w:rsid w:val="0079506C"/>
    <w:rsid w:val="00796CFA"/>
    <w:rsid w:val="00796D72"/>
    <w:rsid w:val="007A02D7"/>
    <w:rsid w:val="007A0EA6"/>
    <w:rsid w:val="007A11CB"/>
    <w:rsid w:val="007A4DAD"/>
    <w:rsid w:val="007B1F75"/>
    <w:rsid w:val="007B20AD"/>
    <w:rsid w:val="007B20BB"/>
    <w:rsid w:val="007B30C7"/>
    <w:rsid w:val="007B3FEE"/>
    <w:rsid w:val="007B4C0F"/>
    <w:rsid w:val="007B792F"/>
    <w:rsid w:val="007C0A17"/>
    <w:rsid w:val="007C1438"/>
    <w:rsid w:val="007C3473"/>
    <w:rsid w:val="007C52DE"/>
    <w:rsid w:val="007C5580"/>
    <w:rsid w:val="007C585F"/>
    <w:rsid w:val="007C609B"/>
    <w:rsid w:val="007D3C7A"/>
    <w:rsid w:val="007D3FD8"/>
    <w:rsid w:val="007D5AE9"/>
    <w:rsid w:val="007D700F"/>
    <w:rsid w:val="007D7B2F"/>
    <w:rsid w:val="007E159E"/>
    <w:rsid w:val="007E4A41"/>
    <w:rsid w:val="007E5E4E"/>
    <w:rsid w:val="007E65F2"/>
    <w:rsid w:val="007E747D"/>
    <w:rsid w:val="007F18D0"/>
    <w:rsid w:val="007F68CA"/>
    <w:rsid w:val="008001B9"/>
    <w:rsid w:val="008018DF"/>
    <w:rsid w:val="008066DF"/>
    <w:rsid w:val="0081259A"/>
    <w:rsid w:val="008141F7"/>
    <w:rsid w:val="00814F88"/>
    <w:rsid w:val="008153D1"/>
    <w:rsid w:val="00815F7A"/>
    <w:rsid w:val="00816201"/>
    <w:rsid w:val="00816A9E"/>
    <w:rsid w:val="008210AB"/>
    <w:rsid w:val="0082114D"/>
    <w:rsid w:val="00821216"/>
    <w:rsid w:val="00824ECA"/>
    <w:rsid w:val="008260C7"/>
    <w:rsid w:val="008266BD"/>
    <w:rsid w:val="0082783B"/>
    <w:rsid w:val="008302E7"/>
    <w:rsid w:val="00833561"/>
    <w:rsid w:val="00834A60"/>
    <w:rsid w:val="00834F85"/>
    <w:rsid w:val="0083632B"/>
    <w:rsid w:val="00836643"/>
    <w:rsid w:val="00847A5A"/>
    <w:rsid w:val="00854EF0"/>
    <w:rsid w:val="0085788D"/>
    <w:rsid w:val="00860481"/>
    <w:rsid w:val="00860AA0"/>
    <w:rsid w:val="00867C37"/>
    <w:rsid w:val="00867DD8"/>
    <w:rsid w:val="00870B95"/>
    <w:rsid w:val="00871398"/>
    <w:rsid w:val="00872633"/>
    <w:rsid w:val="00872D55"/>
    <w:rsid w:val="008769F0"/>
    <w:rsid w:val="00877F21"/>
    <w:rsid w:val="00880815"/>
    <w:rsid w:val="00881505"/>
    <w:rsid w:val="00881656"/>
    <w:rsid w:val="00881D1E"/>
    <w:rsid w:val="00883827"/>
    <w:rsid w:val="00885B63"/>
    <w:rsid w:val="00890A1C"/>
    <w:rsid w:val="0089135B"/>
    <w:rsid w:val="00892926"/>
    <w:rsid w:val="00892EFC"/>
    <w:rsid w:val="0089531C"/>
    <w:rsid w:val="008956C7"/>
    <w:rsid w:val="00896C04"/>
    <w:rsid w:val="00897182"/>
    <w:rsid w:val="0089769A"/>
    <w:rsid w:val="008A0E00"/>
    <w:rsid w:val="008A166A"/>
    <w:rsid w:val="008A5D47"/>
    <w:rsid w:val="008A74A2"/>
    <w:rsid w:val="008B2C7F"/>
    <w:rsid w:val="008B35D7"/>
    <w:rsid w:val="008B3A0F"/>
    <w:rsid w:val="008B73C1"/>
    <w:rsid w:val="008B75C6"/>
    <w:rsid w:val="008C050B"/>
    <w:rsid w:val="008C0587"/>
    <w:rsid w:val="008C4BEA"/>
    <w:rsid w:val="008C5DE6"/>
    <w:rsid w:val="008C6391"/>
    <w:rsid w:val="008C64A2"/>
    <w:rsid w:val="008C753F"/>
    <w:rsid w:val="008C7623"/>
    <w:rsid w:val="008C7737"/>
    <w:rsid w:val="008D0B3B"/>
    <w:rsid w:val="008D0D0E"/>
    <w:rsid w:val="008D44EB"/>
    <w:rsid w:val="008D79EE"/>
    <w:rsid w:val="008D7C85"/>
    <w:rsid w:val="008E053E"/>
    <w:rsid w:val="008E2783"/>
    <w:rsid w:val="008E4E39"/>
    <w:rsid w:val="008E76B5"/>
    <w:rsid w:val="008E7880"/>
    <w:rsid w:val="008E7F0F"/>
    <w:rsid w:val="008F19C6"/>
    <w:rsid w:val="008F1AE6"/>
    <w:rsid w:val="008F217B"/>
    <w:rsid w:val="008F35AB"/>
    <w:rsid w:val="008F4D71"/>
    <w:rsid w:val="00900555"/>
    <w:rsid w:val="0090225D"/>
    <w:rsid w:val="00906A41"/>
    <w:rsid w:val="00906BCA"/>
    <w:rsid w:val="00907147"/>
    <w:rsid w:val="00907670"/>
    <w:rsid w:val="009122D7"/>
    <w:rsid w:val="009136B3"/>
    <w:rsid w:val="009164F5"/>
    <w:rsid w:val="00920968"/>
    <w:rsid w:val="00927601"/>
    <w:rsid w:val="009277B1"/>
    <w:rsid w:val="00930B1A"/>
    <w:rsid w:val="009311C3"/>
    <w:rsid w:val="00931386"/>
    <w:rsid w:val="00931E60"/>
    <w:rsid w:val="0093241B"/>
    <w:rsid w:val="0093507C"/>
    <w:rsid w:val="0093585D"/>
    <w:rsid w:val="00935AC4"/>
    <w:rsid w:val="00937286"/>
    <w:rsid w:val="00941660"/>
    <w:rsid w:val="009429FE"/>
    <w:rsid w:val="009432AE"/>
    <w:rsid w:val="0094375B"/>
    <w:rsid w:val="00944636"/>
    <w:rsid w:val="00944D1E"/>
    <w:rsid w:val="00953C31"/>
    <w:rsid w:val="00954754"/>
    <w:rsid w:val="009554F9"/>
    <w:rsid w:val="0095576E"/>
    <w:rsid w:val="00956AF7"/>
    <w:rsid w:val="00957ACF"/>
    <w:rsid w:val="00960F33"/>
    <w:rsid w:val="009615A6"/>
    <w:rsid w:val="00961D70"/>
    <w:rsid w:val="0096233D"/>
    <w:rsid w:val="00964547"/>
    <w:rsid w:val="0097079E"/>
    <w:rsid w:val="0097294F"/>
    <w:rsid w:val="009740F6"/>
    <w:rsid w:val="00974C5A"/>
    <w:rsid w:val="00974D27"/>
    <w:rsid w:val="009760C8"/>
    <w:rsid w:val="009817D9"/>
    <w:rsid w:val="0098382F"/>
    <w:rsid w:val="00983E9F"/>
    <w:rsid w:val="0098608C"/>
    <w:rsid w:val="00987C5D"/>
    <w:rsid w:val="009904B6"/>
    <w:rsid w:val="009909FC"/>
    <w:rsid w:val="00990AB7"/>
    <w:rsid w:val="0099311B"/>
    <w:rsid w:val="009951FD"/>
    <w:rsid w:val="009956B8"/>
    <w:rsid w:val="00995741"/>
    <w:rsid w:val="00997073"/>
    <w:rsid w:val="009A0F80"/>
    <w:rsid w:val="009A3C0D"/>
    <w:rsid w:val="009A4534"/>
    <w:rsid w:val="009A621C"/>
    <w:rsid w:val="009A7F24"/>
    <w:rsid w:val="009B2ACF"/>
    <w:rsid w:val="009B3AD2"/>
    <w:rsid w:val="009C14C0"/>
    <w:rsid w:val="009C28FA"/>
    <w:rsid w:val="009C763C"/>
    <w:rsid w:val="009D2B6B"/>
    <w:rsid w:val="009D3D88"/>
    <w:rsid w:val="009D47CF"/>
    <w:rsid w:val="009D5AF7"/>
    <w:rsid w:val="009D7C5B"/>
    <w:rsid w:val="009E076F"/>
    <w:rsid w:val="009E092E"/>
    <w:rsid w:val="009E19C5"/>
    <w:rsid w:val="009E640F"/>
    <w:rsid w:val="009F0A51"/>
    <w:rsid w:val="009F211C"/>
    <w:rsid w:val="00A00A1F"/>
    <w:rsid w:val="00A00DFE"/>
    <w:rsid w:val="00A01C8B"/>
    <w:rsid w:val="00A01E47"/>
    <w:rsid w:val="00A01F08"/>
    <w:rsid w:val="00A02E3D"/>
    <w:rsid w:val="00A02F38"/>
    <w:rsid w:val="00A0302C"/>
    <w:rsid w:val="00A05B36"/>
    <w:rsid w:val="00A06240"/>
    <w:rsid w:val="00A06611"/>
    <w:rsid w:val="00A10900"/>
    <w:rsid w:val="00A10A01"/>
    <w:rsid w:val="00A10D95"/>
    <w:rsid w:val="00A116EF"/>
    <w:rsid w:val="00A16AA7"/>
    <w:rsid w:val="00A16D02"/>
    <w:rsid w:val="00A21CAD"/>
    <w:rsid w:val="00A22599"/>
    <w:rsid w:val="00A25D86"/>
    <w:rsid w:val="00A26943"/>
    <w:rsid w:val="00A274D6"/>
    <w:rsid w:val="00A30C42"/>
    <w:rsid w:val="00A33125"/>
    <w:rsid w:val="00A33FE9"/>
    <w:rsid w:val="00A36241"/>
    <w:rsid w:val="00A404D2"/>
    <w:rsid w:val="00A42101"/>
    <w:rsid w:val="00A4689D"/>
    <w:rsid w:val="00A46FBE"/>
    <w:rsid w:val="00A50C2C"/>
    <w:rsid w:val="00A54E69"/>
    <w:rsid w:val="00A5680F"/>
    <w:rsid w:val="00A5693F"/>
    <w:rsid w:val="00A62045"/>
    <w:rsid w:val="00A62C6C"/>
    <w:rsid w:val="00A646D8"/>
    <w:rsid w:val="00A6778F"/>
    <w:rsid w:val="00A67909"/>
    <w:rsid w:val="00A73472"/>
    <w:rsid w:val="00A7513D"/>
    <w:rsid w:val="00A77299"/>
    <w:rsid w:val="00A7768D"/>
    <w:rsid w:val="00A777AE"/>
    <w:rsid w:val="00A779C5"/>
    <w:rsid w:val="00A808F7"/>
    <w:rsid w:val="00A83B86"/>
    <w:rsid w:val="00A848B5"/>
    <w:rsid w:val="00A854FE"/>
    <w:rsid w:val="00A86561"/>
    <w:rsid w:val="00A871FA"/>
    <w:rsid w:val="00A8747A"/>
    <w:rsid w:val="00A907F5"/>
    <w:rsid w:val="00A909A9"/>
    <w:rsid w:val="00A91A40"/>
    <w:rsid w:val="00A934D2"/>
    <w:rsid w:val="00A94FAD"/>
    <w:rsid w:val="00A965B4"/>
    <w:rsid w:val="00AA0F55"/>
    <w:rsid w:val="00AA1831"/>
    <w:rsid w:val="00AA3D64"/>
    <w:rsid w:val="00AA4049"/>
    <w:rsid w:val="00AA7838"/>
    <w:rsid w:val="00AB4034"/>
    <w:rsid w:val="00AB5421"/>
    <w:rsid w:val="00AC5B70"/>
    <w:rsid w:val="00AC6D75"/>
    <w:rsid w:val="00AC7FDF"/>
    <w:rsid w:val="00AD0495"/>
    <w:rsid w:val="00AD059C"/>
    <w:rsid w:val="00AD1716"/>
    <w:rsid w:val="00AD29F1"/>
    <w:rsid w:val="00AD36EA"/>
    <w:rsid w:val="00AD4297"/>
    <w:rsid w:val="00AD49BC"/>
    <w:rsid w:val="00AD5353"/>
    <w:rsid w:val="00AE0EFD"/>
    <w:rsid w:val="00AE202B"/>
    <w:rsid w:val="00AE58AB"/>
    <w:rsid w:val="00AE78C0"/>
    <w:rsid w:val="00AF4728"/>
    <w:rsid w:val="00AF7A8E"/>
    <w:rsid w:val="00B03650"/>
    <w:rsid w:val="00B0399B"/>
    <w:rsid w:val="00B13F76"/>
    <w:rsid w:val="00B15292"/>
    <w:rsid w:val="00B16A68"/>
    <w:rsid w:val="00B20164"/>
    <w:rsid w:val="00B204E7"/>
    <w:rsid w:val="00B26349"/>
    <w:rsid w:val="00B26D74"/>
    <w:rsid w:val="00B33761"/>
    <w:rsid w:val="00B34758"/>
    <w:rsid w:val="00B34EBC"/>
    <w:rsid w:val="00B35DAA"/>
    <w:rsid w:val="00B36C04"/>
    <w:rsid w:val="00B37A79"/>
    <w:rsid w:val="00B37DF3"/>
    <w:rsid w:val="00B41089"/>
    <w:rsid w:val="00B44420"/>
    <w:rsid w:val="00B44B54"/>
    <w:rsid w:val="00B50D3E"/>
    <w:rsid w:val="00B52163"/>
    <w:rsid w:val="00B5323C"/>
    <w:rsid w:val="00B56246"/>
    <w:rsid w:val="00B56B26"/>
    <w:rsid w:val="00B60C77"/>
    <w:rsid w:val="00B60C83"/>
    <w:rsid w:val="00B61A3D"/>
    <w:rsid w:val="00B61C7F"/>
    <w:rsid w:val="00B62C1E"/>
    <w:rsid w:val="00B65310"/>
    <w:rsid w:val="00B653BA"/>
    <w:rsid w:val="00B67128"/>
    <w:rsid w:val="00B7135A"/>
    <w:rsid w:val="00B76796"/>
    <w:rsid w:val="00B768C7"/>
    <w:rsid w:val="00B8798D"/>
    <w:rsid w:val="00B934F8"/>
    <w:rsid w:val="00B96EB4"/>
    <w:rsid w:val="00B97F48"/>
    <w:rsid w:val="00BA0761"/>
    <w:rsid w:val="00BA208F"/>
    <w:rsid w:val="00BA74A9"/>
    <w:rsid w:val="00BB0E64"/>
    <w:rsid w:val="00BB2D1D"/>
    <w:rsid w:val="00BB3371"/>
    <w:rsid w:val="00BB43B6"/>
    <w:rsid w:val="00BB57F1"/>
    <w:rsid w:val="00BB6ED4"/>
    <w:rsid w:val="00BB75A2"/>
    <w:rsid w:val="00BC001B"/>
    <w:rsid w:val="00BC11EB"/>
    <w:rsid w:val="00BC2092"/>
    <w:rsid w:val="00BC29EB"/>
    <w:rsid w:val="00BC465C"/>
    <w:rsid w:val="00BC4B95"/>
    <w:rsid w:val="00BC5250"/>
    <w:rsid w:val="00BC6B6F"/>
    <w:rsid w:val="00BC78A9"/>
    <w:rsid w:val="00BD07A1"/>
    <w:rsid w:val="00BD25F5"/>
    <w:rsid w:val="00BD402C"/>
    <w:rsid w:val="00BD4874"/>
    <w:rsid w:val="00BD4882"/>
    <w:rsid w:val="00BD50B6"/>
    <w:rsid w:val="00BD5556"/>
    <w:rsid w:val="00BD6024"/>
    <w:rsid w:val="00BD6D91"/>
    <w:rsid w:val="00BD6DC7"/>
    <w:rsid w:val="00BE2D16"/>
    <w:rsid w:val="00BE4E1D"/>
    <w:rsid w:val="00BE5F1A"/>
    <w:rsid w:val="00BE693B"/>
    <w:rsid w:val="00BE7BCB"/>
    <w:rsid w:val="00BF1A1D"/>
    <w:rsid w:val="00BF2680"/>
    <w:rsid w:val="00BF42E2"/>
    <w:rsid w:val="00BF4D41"/>
    <w:rsid w:val="00BF65BE"/>
    <w:rsid w:val="00BF7B05"/>
    <w:rsid w:val="00C01FC0"/>
    <w:rsid w:val="00C02A23"/>
    <w:rsid w:val="00C05E8D"/>
    <w:rsid w:val="00C06035"/>
    <w:rsid w:val="00C07898"/>
    <w:rsid w:val="00C12053"/>
    <w:rsid w:val="00C135BC"/>
    <w:rsid w:val="00C1702F"/>
    <w:rsid w:val="00C17328"/>
    <w:rsid w:val="00C20245"/>
    <w:rsid w:val="00C20651"/>
    <w:rsid w:val="00C21E3B"/>
    <w:rsid w:val="00C2278E"/>
    <w:rsid w:val="00C23133"/>
    <w:rsid w:val="00C2582F"/>
    <w:rsid w:val="00C263C2"/>
    <w:rsid w:val="00C27AE4"/>
    <w:rsid w:val="00C31034"/>
    <w:rsid w:val="00C3475F"/>
    <w:rsid w:val="00C42629"/>
    <w:rsid w:val="00C503F4"/>
    <w:rsid w:val="00C50FF2"/>
    <w:rsid w:val="00C5118C"/>
    <w:rsid w:val="00C525EE"/>
    <w:rsid w:val="00C54B84"/>
    <w:rsid w:val="00C60281"/>
    <w:rsid w:val="00C63E7C"/>
    <w:rsid w:val="00C63F51"/>
    <w:rsid w:val="00C66064"/>
    <w:rsid w:val="00C67B3D"/>
    <w:rsid w:val="00C74E40"/>
    <w:rsid w:val="00C753CD"/>
    <w:rsid w:val="00C75E77"/>
    <w:rsid w:val="00C81CF0"/>
    <w:rsid w:val="00C84562"/>
    <w:rsid w:val="00C84FFA"/>
    <w:rsid w:val="00C85678"/>
    <w:rsid w:val="00C859C4"/>
    <w:rsid w:val="00C85B30"/>
    <w:rsid w:val="00C86852"/>
    <w:rsid w:val="00C86C0D"/>
    <w:rsid w:val="00C908A5"/>
    <w:rsid w:val="00C9204C"/>
    <w:rsid w:val="00C93E84"/>
    <w:rsid w:val="00C961F5"/>
    <w:rsid w:val="00C964B1"/>
    <w:rsid w:val="00C969D3"/>
    <w:rsid w:val="00CA163E"/>
    <w:rsid w:val="00CA1DD1"/>
    <w:rsid w:val="00CA4230"/>
    <w:rsid w:val="00CA66E8"/>
    <w:rsid w:val="00CB007F"/>
    <w:rsid w:val="00CB6B79"/>
    <w:rsid w:val="00CB7909"/>
    <w:rsid w:val="00CB7A3A"/>
    <w:rsid w:val="00CC0144"/>
    <w:rsid w:val="00CC0C4F"/>
    <w:rsid w:val="00CC121A"/>
    <w:rsid w:val="00CC1BEB"/>
    <w:rsid w:val="00CC3526"/>
    <w:rsid w:val="00CC377C"/>
    <w:rsid w:val="00CC7B4D"/>
    <w:rsid w:val="00CD377F"/>
    <w:rsid w:val="00CD3F68"/>
    <w:rsid w:val="00CD4FF4"/>
    <w:rsid w:val="00CD6B2F"/>
    <w:rsid w:val="00CD6B7E"/>
    <w:rsid w:val="00CD7A8A"/>
    <w:rsid w:val="00CE23EF"/>
    <w:rsid w:val="00CE30E6"/>
    <w:rsid w:val="00CE4744"/>
    <w:rsid w:val="00CE5442"/>
    <w:rsid w:val="00CE5BD3"/>
    <w:rsid w:val="00CE6118"/>
    <w:rsid w:val="00CE7299"/>
    <w:rsid w:val="00CF722E"/>
    <w:rsid w:val="00CF73C0"/>
    <w:rsid w:val="00D00362"/>
    <w:rsid w:val="00D03450"/>
    <w:rsid w:val="00D0379D"/>
    <w:rsid w:val="00D03D5C"/>
    <w:rsid w:val="00D04F85"/>
    <w:rsid w:val="00D0634F"/>
    <w:rsid w:val="00D063C4"/>
    <w:rsid w:val="00D0693B"/>
    <w:rsid w:val="00D10988"/>
    <w:rsid w:val="00D13E88"/>
    <w:rsid w:val="00D14F75"/>
    <w:rsid w:val="00D161E6"/>
    <w:rsid w:val="00D206B4"/>
    <w:rsid w:val="00D226E6"/>
    <w:rsid w:val="00D25A77"/>
    <w:rsid w:val="00D25F4C"/>
    <w:rsid w:val="00D2601A"/>
    <w:rsid w:val="00D27F39"/>
    <w:rsid w:val="00D3133C"/>
    <w:rsid w:val="00D31457"/>
    <w:rsid w:val="00D31C84"/>
    <w:rsid w:val="00D33B2F"/>
    <w:rsid w:val="00D35220"/>
    <w:rsid w:val="00D40CA6"/>
    <w:rsid w:val="00D42F63"/>
    <w:rsid w:val="00D43759"/>
    <w:rsid w:val="00D43EE2"/>
    <w:rsid w:val="00D44DE1"/>
    <w:rsid w:val="00D451DF"/>
    <w:rsid w:val="00D51A0F"/>
    <w:rsid w:val="00D5224E"/>
    <w:rsid w:val="00D5357E"/>
    <w:rsid w:val="00D545CA"/>
    <w:rsid w:val="00D6067B"/>
    <w:rsid w:val="00D63020"/>
    <w:rsid w:val="00D634F1"/>
    <w:rsid w:val="00D63685"/>
    <w:rsid w:val="00D6382D"/>
    <w:rsid w:val="00D64FD5"/>
    <w:rsid w:val="00D67CC5"/>
    <w:rsid w:val="00D71226"/>
    <w:rsid w:val="00D71B34"/>
    <w:rsid w:val="00D732B6"/>
    <w:rsid w:val="00D73B9C"/>
    <w:rsid w:val="00D757E9"/>
    <w:rsid w:val="00D8154C"/>
    <w:rsid w:val="00D83E67"/>
    <w:rsid w:val="00D86C70"/>
    <w:rsid w:val="00D87C47"/>
    <w:rsid w:val="00D9061E"/>
    <w:rsid w:val="00D93E3A"/>
    <w:rsid w:val="00D94BC6"/>
    <w:rsid w:val="00DA52E5"/>
    <w:rsid w:val="00DA6FE0"/>
    <w:rsid w:val="00DA7A8E"/>
    <w:rsid w:val="00DB07A3"/>
    <w:rsid w:val="00DB0F65"/>
    <w:rsid w:val="00DB0F8E"/>
    <w:rsid w:val="00DB5AB5"/>
    <w:rsid w:val="00DB5F23"/>
    <w:rsid w:val="00DB613B"/>
    <w:rsid w:val="00DB713F"/>
    <w:rsid w:val="00DB7A35"/>
    <w:rsid w:val="00DC03F1"/>
    <w:rsid w:val="00DC09AF"/>
    <w:rsid w:val="00DC2C69"/>
    <w:rsid w:val="00DC56CE"/>
    <w:rsid w:val="00DC713A"/>
    <w:rsid w:val="00DE0C75"/>
    <w:rsid w:val="00DE1F78"/>
    <w:rsid w:val="00DE47B0"/>
    <w:rsid w:val="00DE5837"/>
    <w:rsid w:val="00DE622B"/>
    <w:rsid w:val="00DE6718"/>
    <w:rsid w:val="00DE6BD2"/>
    <w:rsid w:val="00DE702B"/>
    <w:rsid w:val="00DF208D"/>
    <w:rsid w:val="00DF3499"/>
    <w:rsid w:val="00DF6F31"/>
    <w:rsid w:val="00E01464"/>
    <w:rsid w:val="00E01FD6"/>
    <w:rsid w:val="00E05CBE"/>
    <w:rsid w:val="00E07A70"/>
    <w:rsid w:val="00E134BB"/>
    <w:rsid w:val="00E13616"/>
    <w:rsid w:val="00E156CD"/>
    <w:rsid w:val="00E15C1C"/>
    <w:rsid w:val="00E17581"/>
    <w:rsid w:val="00E202F6"/>
    <w:rsid w:val="00E21F61"/>
    <w:rsid w:val="00E230B7"/>
    <w:rsid w:val="00E2556C"/>
    <w:rsid w:val="00E25854"/>
    <w:rsid w:val="00E3007C"/>
    <w:rsid w:val="00E305E9"/>
    <w:rsid w:val="00E3094F"/>
    <w:rsid w:val="00E31E8E"/>
    <w:rsid w:val="00E32A4C"/>
    <w:rsid w:val="00E33E4B"/>
    <w:rsid w:val="00E37D14"/>
    <w:rsid w:val="00E411C8"/>
    <w:rsid w:val="00E447A9"/>
    <w:rsid w:val="00E4487E"/>
    <w:rsid w:val="00E450E7"/>
    <w:rsid w:val="00E452E5"/>
    <w:rsid w:val="00E46688"/>
    <w:rsid w:val="00E46B43"/>
    <w:rsid w:val="00E53358"/>
    <w:rsid w:val="00E53E7A"/>
    <w:rsid w:val="00E55088"/>
    <w:rsid w:val="00E56742"/>
    <w:rsid w:val="00E57BC6"/>
    <w:rsid w:val="00E604F6"/>
    <w:rsid w:val="00E66E77"/>
    <w:rsid w:val="00E7116F"/>
    <w:rsid w:val="00E731AE"/>
    <w:rsid w:val="00E75D7A"/>
    <w:rsid w:val="00E81957"/>
    <w:rsid w:val="00E84399"/>
    <w:rsid w:val="00E859F5"/>
    <w:rsid w:val="00E86509"/>
    <w:rsid w:val="00E90DF8"/>
    <w:rsid w:val="00E913EA"/>
    <w:rsid w:val="00E9191D"/>
    <w:rsid w:val="00E924E0"/>
    <w:rsid w:val="00E95C39"/>
    <w:rsid w:val="00E962FC"/>
    <w:rsid w:val="00E97364"/>
    <w:rsid w:val="00EA0FE9"/>
    <w:rsid w:val="00EA27FC"/>
    <w:rsid w:val="00EA2B11"/>
    <w:rsid w:val="00EA4DAF"/>
    <w:rsid w:val="00EA576F"/>
    <w:rsid w:val="00EA7C28"/>
    <w:rsid w:val="00EB0AD8"/>
    <w:rsid w:val="00EB2A1E"/>
    <w:rsid w:val="00EB4134"/>
    <w:rsid w:val="00EB655B"/>
    <w:rsid w:val="00EB708A"/>
    <w:rsid w:val="00EC16C7"/>
    <w:rsid w:val="00EC2DBE"/>
    <w:rsid w:val="00EC4D99"/>
    <w:rsid w:val="00EC6471"/>
    <w:rsid w:val="00EC7AB4"/>
    <w:rsid w:val="00ED0201"/>
    <w:rsid w:val="00ED0D29"/>
    <w:rsid w:val="00ED4EE4"/>
    <w:rsid w:val="00ED58FE"/>
    <w:rsid w:val="00ED5AE8"/>
    <w:rsid w:val="00ED6BAF"/>
    <w:rsid w:val="00EE2600"/>
    <w:rsid w:val="00EE2F7B"/>
    <w:rsid w:val="00EE426F"/>
    <w:rsid w:val="00EE478A"/>
    <w:rsid w:val="00EE4AEC"/>
    <w:rsid w:val="00EF188F"/>
    <w:rsid w:val="00EF3F93"/>
    <w:rsid w:val="00F017C6"/>
    <w:rsid w:val="00F01CD7"/>
    <w:rsid w:val="00F01EF1"/>
    <w:rsid w:val="00F034FF"/>
    <w:rsid w:val="00F03C01"/>
    <w:rsid w:val="00F04F6F"/>
    <w:rsid w:val="00F076CA"/>
    <w:rsid w:val="00F07C20"/>
    <w:rsid w:val="00F11A83"/>
    <w:rsid w:val="00F1251D"/>
    <w:rsid w:val="00F125A7"/>
    <w:rsid w:val="00F13043"/>
    <w:rsid w:val="00F130ED"/>
    <w:rsid w:val="00F17742"/>
    <w:rsid w:val="00F20D47"/>
    <w:rsid w:val="00F215FF"/>
    <w:rsid w:val="00F2285F"/>
    <w:rsid w:val="00F271F8"/>
    <w:rsid w:val="00F2731D"/>
    <w:rsid w:val="00F27A10"/>
    <w:rsid w:val="00F3279D"/>
    <w:rsid w:val="00F32B5F"/>
    <w:rsid w:val="00F332DB"/>
    <w:rsid w:val="00F33F55"/>
    <w:rsid w:val="00F37BA4"/>
    <w:rsid w:val="00F40E2F"/>
    <w:rsid w:val="00F43097"/>
    <w:rsid w:val="00F4484A"/>
    <w:rsid w:val="00F47E65"/>
    <w:rsid w:val="00F5205B"/>
    <w:rsid w:val="00F541E2"/>
    <w:rsid w:val="00F55A1A"/>
    <w:rsid w:val="00F57093"/>
    <w:rsid w:val="00F5721E"/>
    <w:rsid w:val="00F604F6"/>
    <w:rsid w:val="00F60867"/>
    <w:rsid w:val="00F62126"/>
    <w:rsid w:val="00F626F8"/>
    <w:rsid w:val="00F62A86"/>
    <w:rsid w:val="00F659A8"/>
    <w:rsid w:val="00F706C1"/>
    <w:rsid w:val="00F728C8"/>
    <w:rsid w:val="00F7323C"/>
    <w:rsid w:val="00F7367A"/>
    <w:rsid w:val="00F75FAE"/>
    <w:rsid w:val="00F760A1"/>
    <w:rsid w:val="00F803A6"/>
    <w:rsid w:val="00F82836"/>
    <w:rsid w:val="00F849CE"/>
    <w:rsid w:val="00F84DEB"/>
    <w:rsid w:val="00F85256"/>
    <w:rsid w:val="00F85578"/>
    <w:rsid w:val="00F86A2A"/>
    <w:rsid w:val="00F87F29"/>
    <w:rsid w:val="00F90E36"/>
    <w:rsid w:val="00F930D9"/>
    <w:rsid w:val="00F95C73"/>
    <w:rsid w:val="00FA292A"/>
    <w:rsid w:val="00FA3C16"/>
    <w:rsid w:val="00FA4E2A"/>
    <w:rsid w:val="00FA4FDB"/>
    <w:rsid w:val="00FA51E5"/>
    <w:rsid w:val="00FA5CD8"/>
    <w:rsid w:val="00FB0AD3"/>
    <w:rsid w:val="00FB49C0"/>
    <w:rsid w:val="00FB4B47"/>
    <w:rsid w:val="00FB5459"/>
    <w:rsid w:val="00FC21D1"/>
    <w:rsid w:val="00FC2702"/>
    <w:rsid w:val="00FC64F6"/>
    <w:rsid w:val="00FD22C2"/>
    <w:rsid w:val="00FD2E64"/>
    <w:rsid w:val="00FD3BEB"/>
    <w:rsid w:val="00FD41EC"/>
    <w:rsid w:val="00FD6954"/>
    <w:rsid w:val="00FD6ED5"/>
    <w:rsid w:val="00FD7EB2"/>
    <w:rsid w:val="00FE19A6"/>
    <w:rsid w:val="00FE5C95"/>
    <w:rsid w:val="00FE6F62"/>
    <w:rsid w:val="00FF2EF0"/>
    <w:rsid w:val="00FF4A77"/>
    <w:rsid w:val="00FF5FF6"/>
    <w:rsid w:val="00FF63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7083C3C"/>
  <w15:docId w15:val="{2B393134-4A5F-457A-BC27-8BFA368A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2A3B7E"/>
    <w:pPr>
      <w:widowControl w:val="0"/>
      <w:spacing w:after="0" w:line="240" w:lineRule="auto"/>
      <w:ind w:left="100" w:hanging="156"/>
      <w:outlineLvl w:val="0"/>
    </w:pPr>
    <w:rPr>
      <w:rFonts w:ascii="Times New Roman" w:eastAsia="Times New Roman" w:hAnsi="Times New Roman"/>
      <w:b/>
      <w:bCs/>
      <w:sz w:val="28"/>
      <w:szCs w:val="28"/>
    </w:rPr>
  </w:style>
  <w:style w:type="paragraph" w:styleId="Heading2">
    <w:name w:val="heading 2"/>
    <w:basedOn w:val="Normal"/>
    <w:next w:val="Normal"/>
    <w:link w:val="Heading2Char"/>
    <w:uiPriority w:val="9"/>
    <w:unhideWhenUsed/>
    <w:qFormat/>
    <w:rsid w:val="004A54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B35D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729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729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316"/>
    <w:pPr>
      <w:ind w:left="720"/>
      <w:contextualSpacing/>
    </w:pPr>
  </w:style>
  <w:style w:type="paragraph" w:styleId="Header">
    <w:name w:val="header"/>
    <w:basedOn w:val="Normal"/>
    <w:link w:val="HeaderChar"/>
    <w:uiPriority w:val="99"/>
    <w:unhideWhenUsed/>
    <w:rsid w:val="00B60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C83"/>
  </w:style>
  <w:style w:type="paragraph" w:styleId="Footer">
    <w:name w:val="footer"/>
    <w:basedOn w:val="Normal"/>
    <w:link w:val="FooterChar"/>
    <w:uiPriority w:val="99"/>
    <w:unhideWhenUsed/>
    <w:rsid w:val="00B60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C83"/>
  </w:style>
  <w:style w:type="paragraph" w:styleId="BalloonText">
    <w:name w:val="Balloon Text"/>
    <w:basedOn w:val="Normal"/>
    <w:link w:val="BalloonTextChar"/>
    <w:uiPriority w:val="99"/>
    <w:semiHidden/>
    <w:unhideWhenUsed/>
    <w:rsid w:val="00B6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C83"/>
    <w:rPr>
      <w:rFonts w:ascii="Tahoma" w:hAnsi="Tahoma" w:cs="Tahoma"/>
      <w:sz w:val="16"/>
      <w:szCs w:val="16"/>
    </w:rPr>
  </w:style>
  <w:style w:type="character" w:styleId="CommentReference">
    <w:name w:val="annotation reference"/>
    <w:basedOn w:val="DefaultParagraphFont"/>
    <w:uiPriority w:val="99"/>
    <w:semiHidden/>
    <w:unhideWhenUsed/>
    <w:rsid w:val="00CC3526"/>
    <w:rPr>
      <w:sz w:val="16"/>
      <w:szCs w:val="16"/>
    </w:rPr>
  </w:style>
  <w:style w:type="paragraph" w:styleId="CommentText">
    <w:name w:val="annotation text"/>
    <w:basedOn w:val="Normal"/>
    <w:link w:val="CommentTextChar"/>
    <w:uiPriority w:val="99"/>
    <w:unhideWhenUsed/>
    <w:rsid w:val="00CC3526"/>
    <w:pPr>
      <w:spacing w:line="240" w:lineRule="auto"/>
    </w:pPr>
    <w:rPr>
      <w:sz w:val="20"/>
      <w:szCs w:val="20"/>
    </w:rPr>
  </w:style>
  <w:style w:type="character" w:customStyle="1" w:styleId="CommentTextChar">
    <w:name w:val="Comment Text Char"/>
    <w:basedOn w:val="DefaultParagraphFont"/>
    <w:link w:val="CommentText"/>
    <w:uiPriority w:val="99"/>
    <w:rsid w:val="00CC3526"/>
    <w:rPr>
      <w:sz w:val="20"/>
      <w:szCs w:val="20"/>
    </w:rPr>
  </w:style>
  <w:style w:type="paragraph" w:styleId="CommentSubject">
    <w:name w:val="annotation subject"/>
    <w:basedOn w:val="CommentText"/>
    <w:next w:val="CommentText"/>
    <w:link w:val="CommentSubjectChar"/>
    <w:uiPriority w:val="99"/>
    <w:semiHidden/>
    <w:unhideWhenUsed/>
    <w:rsid w:val="00CC3526"/>
    <w:rPr>
      <w:b/>
      <w:bCs/>
    </w:rPr>
  </w:style>
  <w:style w:type="character" w:customStyle="1" w:styleId="CommentSubjectChar">
    <w:name w:val="Comment Subject Char"/>
    <w:basedOn w:val="CommentTextChar"/>
    <w:link w:val="CommentSubject"/>
    <w:uiPriority w:val="99"/>
    <w:semiHidden/>
    <w:rsid w:val="00CC3526"/>
    <w:rPr>
      <w:b/>
      <w:bCs/>
      <w:sz w:val="20"/>
      <w:szCs w:val="20"/>
    </w:rPr>
  </w:style>
  <w:style w:type="table" w:styleId="TableGrid">
    <w:name w:val="Table Grid"/>
    <w:basedOn w:val="TableNormal"/>
    <w:uiPriority w:val="39"/>
    <w:rsid w:val="007C0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2A3B7E"/>
    <w:rPr>
      <w:rFonts w:ascii="Times New Roman" w:eastAsia="Times New Roman" w:hAnsi="Times New Roman"/>
      <w:b/>
      <w:bCs/>
      <w:sz w:val="28"/>
      <w:szCs w:val="28"/>
    </w:rPr>
  </w:style>
  <w:style w:type="character" w:customStyle="1" w:styleId="Heading2Char">
    <w:name w:val="Heading 2 Char"/>
    <w:basedOn w:val="DefaultParagraphFont"/>
    <w:link w:val="Heading2"/>
    <w:uiPriority w:val="9"/>
    <w:rsid w:val="004A542A"/>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4A542A"/>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4A542A"/>
    <w:rPr>
      <w:rFonts w:ascii="Times New Roman" w:eastAsia="Times New Roman" w:hAnsi="Times New Roman"/>
      <w:sz w:val="24"/>
      <w:szCs w:val="24"/>
    </w:rPr>
  </w:style>
  <w:style w:type="paragraph" w:styleId="TOCHeading">
    <w:name w:val="TOC Heading"/>
    <w:basedOn w:val="Heading1"/>
    <w:next w:val="Normal"/>
    <w:uiPriority w:val="39"/>
    <w:unhideWhenUsed/>
    <w:qFormat/>
    <w:rsid w:val="0098382F"/>
    <w:pPr>
      <w:keepNext/>
      <w:keepLines/>
      <w:widowControl/>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qFormat/>
    <w:rsid w:val="003E11EE"/>
    <w:pPr>
      <w:tabs>
        <w:tab w:val="right" w:leader="dot" w:pos="9350"/>
      </w:tabs>
      <w:spacing w:after="100"/>
    </w:pPr>
    <w:rPr>
      <w:b/>
      <w:noProof/>
    </w:rPr>
  </w:style>
  <w:style w:type="character" w:styleId="Hyperlink">
    <w:name w:val="Hyperlink"/>
    <w:basedOn w:val="DefaultParagraphFont"/>
    <w:uiPriority w:val="99"/>
    <w:unhideWhenUsed/>
    <w:rsid w:val="0098382F"/>
    <w:rPr>
      <w:color w:val="0563C1" w:themeColor="hyperlink"/>
      <w:u w:val="single"/>
    </w:rPr>
  </w:style>
  <w:style w:type="paragraph" w:styleId="TOC1">
    <w:name w:val="toc 1"/>
    <w:basedOn w:val="Normal"/>
    <w:next w:val="Normal"/>
    <w:autoRedefine/>
    <w:uiPriority w:val="39"/>
    <w:unhideWhenUsed/>
    <w:qFormat/>
    <w:rsid w:val="003E11EE"/>
    <w:pPr>
      <w:tabs>
        <w:tab w:val="right" w:leader="dot" w:pos="9350"/>
      </w:tabs>
      <w:spacing w:after="100"/>
    </w:pPr>
    <w:rPr>
      <w:b/>
      <w:noProof/>
    </w:rPr>
  </w:style>
  <w:style w:type="paragraph" w:styleId="FootnoteText">
    <w:name w:val="footnote text"/>
    <w:basedOn w:val="Normal"/>
    <w:link w:val="FootnoteTextChar"/>
    <w:uiPriority w:val="99"/>
    <w:semiHidden/>
    <w:unhideWhenUsed/>
    <w:rsid w:val="006E5A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AAD"/>
    <w:rPr>
      <w:sz w:val="20"/>
      <w:szCs w:val="20"/>
    </w:rPr>
  </w:style>
  <w:style w:type="character" w:styleId="FootnoteReference">
    <w:name w:val="footnote reference"/>
    <w:basedOn w:val="DefaultParagraphFont"/>
    <w:uiPriority w:val="99"/>
    <w:semiHidden/>
    <w:unhideWhenUsed/>
    <w:rsid w:val="006E5AAD"/>
    <w:rPr>
      <w:vertAlign w:val="superscript"/>
    </w:rPr>
  </w:style>
  <w:style w:type="paragraph" w:styleId="Caption">
    <w:name w:val="caption"/>
    <w:basedOn w:val="Normal"/>
    <w:next w:val="Normal"/>
    <w:uiPriority w:val="35"/>
    <w:unhideWhenUsed/>
    <w:qFormat/>
    <w:rsid w:val="00960F33"/>
    <w:pPr>
      <w:spacing w:line="240" w:lineRule="auto"/>
    </w:pPr>
    <w:rPr>
      <w:i/>
      <w:iCs/>
      <w:color w:val="44546A" w:themeColor="text2"/>
      <w:sz w:val="18"/>
      <w:szCs w:val="18"/>
    </w:rPr>
  </w:style>
  <w:style w:type="character" w:customStyle="1" w:styleId="Heading3Char">
    <w:name w:val="Heading 3 Char"/>
    <w:basedOn w:val="DefaultParagraphFont"/>
    <w:link w:val="Heading3"/>
    <w:uiPriority w:val="9"/>
    <w:rsid w:val="008B35D7"/>
    <w:rPr>
      <w:rFonts w:asciiTheme="majorHAnsi" w:eastAsiaTheme="majorEastAsia" w:hAnsiTheme="majorHAnsi" w:cstheme="majorBidi"/>
      <w:color w:val="1F4D78" w:themeColor="accent1" w:themeShade="7F"/>
      <w:sz w:val="24"/>
      <w:szCs w:val="24"/>
    </w:rPr>
  </w:style>
  <w:style w:type="paragraph" w:styleId="PlainText">
    <w:name w:val="Plain Text"/>
    <w:basedOn w:val="Normal"/>
    <w:link w:val="PlainTextChar"/>
    <w:uiPriority w:val="99"/>
    <w:unhideWhenUsed/>
    <w:rsid w:val="0028348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8348D"/>
    <w:rPr>
      <w:rFonts w:ascii="Calibri" w:hAnsi="Calibri"/>
      <w:szCs w:val="21"/>
    </w:rPr>
  </w:style>
  <w:style w:type="paragraph" w:styleId="NoSpacing">
    <w:name w:val="No Spacing"/>
    <w:uiPriority w:val="1"/>
    <w:qFormat/>
    <w:rsid w:val="0028348D"/>
    <w:pPr>
      <w:spacing w:after="0" w:line="240" w:lineRule="auto"/>
    </w:pPr>
    <w:rPr>
      <w:rFonts w:ascii="Calibri" w:eastAsia="Calibri" w:hAnsi="Calibri" w:cs="Times New Roman"/>
      <w:lang w:val="en-GB"/>
    </w:rPr>
  </w:style>
  <w:style w:type="paragraph" w:customStyle="1" w:styleId="Default">
    <w:name w:val="Default"/>
    <w:rsid w:val="00467F49"/>
    <w:pPr>
      <w:autoSpaceDE w:val="0"/>
      <w:autoSpaceDN w:val="0"/>
      <w:adjustRightInd w:val="0"/>
      <w:spacing w:after="0" w:line="240" w:lineRule="auto"/>
    </w:pPr>
    <w:rPr>
      <w:rFonts w:ascii="Trebuchet MS" w:hAnsi="Trebuchet MS" w:cs="Trebuchet MS"/>
      <w:color w:val="000000"/>
      <w:sz w:val="24"/>
      <w:szCs w:val="24"/>
      <w:lang w:val="en-GB"/>
    </w:rPr>
  </w:style>
  <w:style w:type="paragraph" w:styleId="Revision">
    <w:name w:val="Revision"/>
    <w:hidden/>
    <w:uiPriority w:val="99"/>
    <w:semiHidden/>
    <w:rsid w:val="005912AD"/>
    <w:pPr>
      <w:spacing w:after="0" w:line="240" w:lineRule="auto"/>
    </w:pPr>
  </w:style>
  <w:style w:type="paragraph" w:styleId="TOC3">
    <w:name w:val="toc 3"/>
    <w:basedOn w:val="Normal"/>
    <w:next w:val="Normal"/>
    <w:autoRedefine/>
    <w:uiPriority w:val="39"/>
    <w:semiHidden/>
    <w:unhideWhenUsed/>
    <w:qFormat/>
    <w:rsid w:val="003E11EE"/>
    <w:pPr>
      <w:spacing w:after="100"/>
      <w:ind w:left="440"/>
    </w:pPr>
    <w:rPr>
      <w:rFonts w:eastAsiaTheme="minorEastAsia"/>
      <w:lang w:eastAsia="ja-JP"/>
    </w:rPr>
  </w:style>
  <w:style w:type="paragraph" w:customStyle="1" w:styleId="Normal-Hang">
    <w:name w:val="Normal-Hang"/>
    <w:basedOn w:val="Normal"/>
    <w:rsid w:val="007706B7"/>
    <w:pPr>
      <w:tabs>
        <w:tab w:val="left" w:pos="-1440"/>
        <w:tab w:val="left" w:pos="-720"/>
      </w:tabs>
      <w:suppressAutoHyphens/>
      <w:spacing w:after="240" w:line="240" w:lineRule="auto"/>
      <w:ind w:left="425" w:hanging="425"/>
      <w:jc w:val="both"/>
    </w:pPr>
    <w:rPr>
      <w:rFonts w:ascii="StempelGaramond Roman" w:eastAsia="Times New Roman" w:hAnsi="StempelGaramond Roman" w:cs="Times New Roman"/>
      <w:lang w:eastAsia="zh-CN"/>
    </w:rPr>
  </w:style>
  <w:style w:type="paragraph" w:styleId="Title">
    <w:name w:val="Title"/>
    <w:basedOn w:val="Normal"/>
    <w:next w:val="Normal"/>
    <w:link w:val="TitleChar"/>
    <w:uiPriority w:val="10"/>
    <w:qFormat/>
    <w:rsid w:val="0025065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GB"/>
    </w:rPr>
  </w:style>
  <w:style w:type="character" w:customStyle="1" w:styleId="TitleChar">
    <w:name w:val="Title Char"/>
    <w:basedOn w:val="DefaultParagraphFont"/>
    <w:link w:val="Title"/>
    <w:uiPriority w:val="10"/>
    <w:rsid w:val="0025065E"/>
    <w:rPr>
      <w:rFonts w:asciiTheme="majorHAnsi" w:eastAsiaTheme="majorEastAsia" w:hAnsiTheme="majorHAnsi" w:cstheme="majorBidi"/>
      <w:color w:val="323E4F" w:themeColor="text2" w:themeShade="BF"/>
      <w:spacing w:val="5"/>
      <w:kern w:val="28"/>
      <w:sz w:val="52"/>
      <w:szCs w:val="52"/>
      <w:lang w:val="en-GB"/>
    </w:rPr>
  </w:style>
  <w:style w:type="character" w:customStyle="1" w:styleId="st">
    <w:name w:val="st"/>
    <w:basedOn w:val="DefaultParagraphFont"/>
    <w:rsid w:val="001E137A"/>
  </w:style>
  <w:style w:type="character" w:styleId="Emphasis">
    <w:name w:val="Emphasis"/>
    <w:basedOn w:val="DefaultParagraphFont"/>
    <w:uiPriority w:val="20"/>
    <w:qFormat/>
    <w:rsid w:val="001E137A"/>
    <w:rPr>
      <w:i/>
      <w:iCs/>
    </w:rPr>
  </w:style>
  <w:style w:type="paragraph" w:styleId="NormalWeb">
    <w:name w:val="Normal (Web)"/>
    <w:basedOn w:val="Normal"/>
    <w:uiPriority w:val="99"/>
    <w:unhideWhenUsed/>
    <w:rsid w:val="00306738"/>
    <w:pPr>
      <w:spacing w:before="100" w:beforeAutospacing="1" w:after="100" w:afterAutospacing="1" w:line="240" w:lineRule="auto"/>
    </w:pPr>
    <w:rPr>
      <w:rFonts w:ascii="Gulim" w:eastAsia="Gulim" w:hAnsi="Gulim" w:cs="Gulim"/>
      <w:sz w:val="24"/>
      <w:szCs w:val="24"/>
      <w:lang w:eastAsia="ko-KR"/>
    </w:rPr>
  </w:style>
  <w:style w:type="paragraph" w:customStyle="1" w:styleId="TableParagraph">
    <w:name w:val="Table Paragraph"/>
    <w:basedOn w:val="Normal"/>
    <w:uiPriority w:val="1"/>
    <w:qFormat/>
    <w:rsid w:val="00AA3D64"/>
    <w:pPr>
      <w:widowControl w:val="0"/>
      <w:autoSpaceDE w:val="0"/>
      <w:autoSpaceDN w:val="0"/>
      <w:spacing w:after="0" w:line="240" w:lineRule="auto"/>
    </w:pPr>
    <w:rPr>
      <w:rFonts w:ascii="Arial" w:eastAsia="Arial" w:hAnsi="Arial" w:cs="Arial"/>
      <w:lang w:bidi="en-US"/>
    </w:rPr>
  </w:style>
  <w:style w:type="table" w:customStyle="1" w:styleId="TableGrid1">
    <w:name w:val="Table Grid1"/>
    <w:basedOn w:val="TableNormal"/>
    <w:next w:val="TableGrid"/>
    <w:uiPriority w:val="39"/>
    <w:rsid w:val="00597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15F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5F7A"/>
    <w:rPr>
      <w:sz w:val="20"/>
      <w:szCs w:val="20"/>
    </w:rPr>
  </w:style>
  <w:style w:type="character" w:styleId="EndnoteReference">
    <w:name w:val="endnote reference"/>
    <w:basedOn w:val="DefaultParagraphFont"/>
    <w:uiPriority w:val="99"/>
    <w:semiHidden/>
    <w:unhideWhenUsed/>
    <w:rsid w:val="00815F7A"/>
    <w:rPr>
      <w:vertAlign w:val="superscript"/>
    </w:rPr>
  </w:style>
  <w:style w:type="character" w:customStyle="1" w:styleId="UnresolvedMention1">
    <w:name w:val="Unresolved Mention1"/>
    <w:basedOn w:val="DefaultParagraphFont"/>
    <w:uiPriority w:val="99"/>
    <w:semiHidden/>
    <w:unhideWhenUsed/>
    <w:rsid w:val="00565CCF"/>
    <w:rPr>
      <w:color w:val="605E5C"/>
      <w:shd w:val="clear" w:color="auto" w:fill="E1DFDD"/>
    </w:rPr>
  </w:style>
  <w:style w:type="table" w:customStyle="1" w:styleId="TableGrid3">
    <w:name w:val="Table Grid3"/>
    <w:basedOn w:val="TableNormal"/>
    <w:next w:val="TableGrid"/>
    <w:uiPriority w:val="59"/>
    <w:unhideWhenUsed/>
    <w:rsid w:val="0019342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1729F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1729F2"/>
    <w:rPr>
      <w:rFonts w:asciiTheme="majorHAnsi" w:eastAsiaTheme="majorEastAsia" w:hAnsiTheme="majorHAnsi" w:cstheme="majorBidi"/>
      <w:color w:val="2E74B5" w:themeColor="accent1" w:themeShade="BF"/>
    </w:rPr>
  </w:style>
  <w:style w:type="character" w:styleId="LineNumber">
    <w:name w:val="line number"/>
    <w:basedOn w:val="DefaultParagraphFont"/>
    <w:uiPriority w:val="99"/>
    <w:semiHidden/>
    <w:unhideWhenUsed/>
    <w:rsid w:val="00037A17"/>
  </w:style>
  <w:style w:type="character" w:styleId="FollowedHyperlink">
    <w:name w:val="FollowedHyperlink"/>
    <w:basedOn w:val="DefaultParagraphFont"/>
    <w:uiPriority w:val="99"/>
    <w:semiHidden/>
    <w:unhideWhenUsed/>
    <w:rsid w:val="00470E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32857">
      <w:bodyDiv w:val="1"/>
      <w:marLeft w:val="0"/>
      <w:marRight w:val="0"/>
      <w:marTop w:val="0"/>
      <w:marBottom w:val="0"/>
      <w:divBdr>
        <w:top w:val="none" w:sz="0" w:space="0" w:color="auto"/>
        <w:left w:val="none" w:sz="0" w:space="0" w:color="auto"/>
        <w:bottom w:val="none" w:sz="0" w:space="0" w:color="auto"/>
        <w:right w:val="none" w:sz="0" w:space="0" w:color="auto"/>
      </w:divBdr>
    </w:div>
    <w:div w:id="523174190">
      <w:bodyDiv w:val="1"/>
      <w:marLeft w:val="0"/>
      <w:marRight w:val="0"/>
      <w:marTop w:val="0"/>
      <w:marBottom w:val="0"/>
      <w:divBdr>
        <w:top w:val="none" w:sz="0" w:space="0" w:color="auto"/>
        <w:left w:val="none" w:sz="0" w:space="0" w:color="auto"/>
        <w:bottom w:val="none" w:sz="0" w:space="0" w:color="auto"/>
        <w:right w:val="none" w:sz="0" w:space="0" w:color="auto"/>
      </w:divBdr>
      <w:divsChild>
        <w:div w:id="1635476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43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86730">
      <w:bodyDiv w:val="1"/>
      <w:marLeft w:val="0"/>
      <w:marRight w:val="0"/>
      <w:marTop w:val="0"/>
      <w:marBottom w:val="0"/>
      <w:divBdr>
        <w:top w:val="none" w:sz="0" w:space="0" w:color="auto"/>
        <w:left w:val="none" w:sz="0" w:space="0" w:color="auto"/>
        <w:bottom w:val="none" w:sz="0" w:space="0" w:color="auto"/>
        <w:right w:val="none" w:sz="0" w:space="0" w:color="auto"/>
      </w:divBdr>
      <w:divsChild>
        <w:div w:id="1930310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909320">
              <w:marLeft w:val="0"/>
              <w:marRight w:val="0"/>
              <w:marTop w:val="0"/>
              <w:marBottom w:val="0"/>
              <w:divBdr>
                <w:top w:val="none" w:sz="0" w:space="0" w:color="auto"/>
                <w:left w:val="none" w:sz="0" w:space="0" w:color="auto"/>
                <w:bottom w:val="none" w:sz="0" w:space="0" w:color="auto"/>
                <w:right w:val="none" w:sz="0" w:space="0" w:color="auto"/>
              </w:divBdr>
              <w:divsChild>
                <w:div w:id="65044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64588">
      <w:bodyDiv w:val="1"/>
      <w:marLeft w:val="0"/>
      <w:marRight w:val="0"/>
      <w:marTop w:val="0"/>
      <w:marBottom w:val="0"/>
      <w:divBdr>
        <w:top w:val="none" w:sz="0" w:space="0" w:color="auto"/>
        <w:left w:val="none" w:sz="0" w:space="0" w:color="auto"/>
        <w:bottom w:val="none" w:sz="0" w:space="0" w:color="auto"/>
        <w:right w:val="none" w:sz="0" w:space="0" w:color="auto"/>
      </w:divBdr>
    </w:div>
    <w:div w:id="920719162">
      <w:bodyDiv w:val="1"/>
      <w:marLeft w:val="0"/>
      <w:marRight w:val="0"/>
      <w:marTop w:val="0"/>
      <w:marBottom w:val="0"/>
      <w:divBdr>
        <w:top w:val="none" w:sz="0" w:space="0" w:color="auto"/>
        <w:left w:val="none" w:sz="0" w:space="0" w:color="auto"/>
        <w:bottom w:val="none" w:sz="0" w:space="0" w:color="auto"/>
        <w:right w:val="none" w:sz="0" w:space="0" w:color="auto"/>
      </w:divBdr>
      <w:divsChild>
        <w:div w:id="239607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486466">
              <w:marLeft w:val="0"/>
              <w:marRight w:val="0"/>
              <w:marTop w:val="0"/>
              <w:marBottom w:val="0"/>
              <w:divBdr>
                <w:top w:val="none" w:sz="0" w:space="0" w:color="auto"/>
                <w:left w:val="none" w:sz="0" w:space="0" w:color="auto"/>
                <w:bottom w:val="none" w:sz="0" w:space="0" w:color="auto"/>
                <w:right w:val="none" w:sz="0" w:space="0" w:color="auto"/>
              </w:divBdr>
              <w:divsChild>
                <w:div w:id="7211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41749">
      <w:bodyDiv w:val="1"/>
      <w:marLeft w:val="0"/>
      <w:marRight w:val="0"/>
      <w:marTop w:val="0"/>
      <w:marBottom w:val="0"/>
      <w:divBdr>
        <w:top w:val="none" w:sz="0" w:space="0" w:color="auto"/>
        <w:left w:val="none" w:sz="0" w:space="0" w:color="auto"/>
        <w:bottom w:val="none" w:sz="0" w:space="0" w:color="auto"/>
        <w:right w:val="none" w:sz="0" w:space="0" w:color="auto"/>
      </w:divBdr>
    </w:div>
    <w:div w:id="1109541214">
      <w:bodyDiv w:val="1"/>
      <w:marLeft w:val="0"/>
      <w:marRight w:val="0"/>
      <w:marTop w:val="0"/>
      <w:marBottom w:val="0"/>
      <w:divBdr>
        <w:top w:val="none" w:sz="0" w:space="0" w:color="auto"/>
        <w:left w:val="none" w:sz="0" w:space="0" w:color="auto"/>
        <w:bottom w:val="none" w:sz="0" w:space="0" w:color="auto"/>
        <w:right w:val="none" w:sz="0" w:space="0" w:color="auto"/>
      </w:divBdr>
    </w:div>
    <w:div w:id="1198466475">
      <w:bodyDiv w:val="1"/>
      <w:marLeft w:val="0"/>
      <w:marRight w:val="0"/>
      <w:marTop w:val="0"/>
      <w:marBottom w:val="0"/>
      <w:divBdr>
        <w:top w:val="none" w:sz="0" w:space="0" w:color="auto"/>
        <w:left w:val="none" w:sz="0" w:space="0" w:color="auto"/>
        <w:bottom w:val="none" w:sz="0" w:space="0" w:color="auto"/>
        <w:right w:val="none" w:sz="0" w:space="0" w:color="auto"/>
      </w:divBdr>
    </w:div>
    <w:div w:id="1325084819">
      <w:bodyDiv w:val="1"/>
      <w:marLeft w:val="0"/>
      <w:marRight w:val="0"/>
      <w:marTop w:val="0"/>
      <w:marBottom w:val="0"/>
      <w:divBdr>
        <w:top w:val="none" w:sz="0" w:space="0" w:color="auto"/>
        <w:left w:val="none" w:sz="0" w:space="0" w:color="auto"/>
        <w:bottom w:val="none" w:sz="0" w:space="0" w:color="auto"/>
        <w:right w:val="none" w:sz="0" w:space="0" w:color="auto"/>
      </w:divBdr>
      <w:divsChild>
        <w:div w:id="1459910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566409">
              <w:marLeft w:val="0"/>
              <w:marRight w:val="0"/>
              <w:marTop w:val="0"/>
              <w:marBottom w:val="0"/>
              <w:divBdr>
                <w:top w:val="none" w:sz="0" w:space="0" w:color="auto"/>
                <w:left w:val="none" w:sz="0" w:space="0" w:color="auto"/>
                <w:bottom w:val="none" w:sz="0" w:space="0" w:color="auto"/>
                <w:right w:val="none" w:sz="0" w:space="0" w:color="auto"/>
              </w:divBdr>
              <w:divsChild>
                <w:div w:id="18013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548225">
      <w:bodyDiv w:val="1"/>
      <w:marLeft w:val="0"/>
      <w:marRight w:val="0"/>
      <w:marTop w:val="0"/>
      <w:marBottom w:val="0"/>
      <w:divBdr>
        <w:top w:val="none" w:sz="0" w:space="0" w:color="auto"/>
        <w:left w:val="none" w:sz="0" w:space="0" w:color="auto"/>
        <w:bottom w:val="none" w:sz="0" w:space="0" w:color="auto"/>
        <w:right w:val="none" w:sz="0" w:space="0" w:color="auto"/>
      </w:divBdr>
    </w:div>
    <w:div w:id="1552376151">
      <w:bodyDiv w:val="1"/>
      <w:marLeft w:val="0"/>
      <w:marRight w:val="0"/>
      <w:marTop w:val="0"/>
      <w:marBottom w:val="0"/>
      <w:divBdr>
        <w:top w:val="none" w:sz="0" w:space="0" w:color="auto"/>
        <w:left w:val="none" w:sz="0" w:space="0" w:color="auto"/>
        <w:bottom w:val="none" w:sz="0" w:space="0" w:color="auto"/>
        <w:right w:val="none" w:sz="0" w:space="0" w:color="auto"/>
      </w:divBdr>
    </w:div>
    <w:div w:id="1614748898">
      <w:bodyDiv w:val="1"/>
      <w:marLeft w:val="0"/>
      <w:marRight w:val="0"/>
      <w:marTop w:val="0"/>
      <w:marBottom w:val="0"/>
      <w:divBdr>
        <w:top w:val="none" w:sz="0" w:space="0" w:color="auto"/>
        <w:left w:val="none" w:sz="0" w:space="0" w:color="auto"/>
        <w:bottom w:val="none" w:sz="0" w:space="0" w:color="auto"/>
        <w:right w:val="none" w:sz="0" w:space="0" w:color="auto"/>
      </w:divBdr>
    </w:div>
    <w:div w:id="1646082884">
      <w:bodyDiv w:val="1"/>
      <w:marLeft w:val="0"/>
      <w:marRight w:val="0"/>
      <w:marTop w:val="0"/>
      <w:marBottom w:val="0"/>
      <w:divBdr>
        <w:top w:val="none" w:sz="0" w:space="0" w:color="auto"/>
        <w:left w:val="none" w:sz="0" w:space="0" w:color="auto"/>
        <w:bottom w:val="none" w:sz="0" w:space="0" w:color="auto"/>
        <w:right w:val="none" w:sz="0" w:space="0" w:color="auto"/>
      </w:divBdr>
    </w:div>
    <w:div w:id="1690257981">
      <w:bodyDiv w:val="1"/>
      <w:marLeft w:val="0"/>
      <w:marRight w:val="0"/>
      <w:marTop w:val="0"/>
      <w:marBottom w:val="0"/>
      <w:divBdr>
        <w:top w:val="none" w:sz="0" w:space="0" w:color="auto"/>
        <w:left w:val="none" w:sz="0" w:space="0" w:color="auto"/>
        <w:bottom w:val="none" w:sz="0" w:space="0" w:color="auto"/>
        <w:right w:val="none" w:sz="0" w:space="0" w:color="auto"/>
      </w:divBdr>
    </w:div>
    <w:div w:id="1758473751">
      <w:bodyDiv w:val="1"/>
      <w:marLeft w:val="0"/>
      <w:marRight w:val="0"/>
      <w:marTop w:val="0"/>
      <w:marBottom w:val="0"/>
      <w:divBdr>
        <w:top w:val="none" w:sz="0" w:space="0" w:color="auto"/>
        <w:left w:val="none" w:sz="0" w:space="0" w:color="auto"/>
        <w:bottom w:val="none" w:sz="0" w:space="0" w:color="auto"/>
        <w:right w:val="none" w:sz="0" w:space="0" w:color="auto"/>
      </w:divBdr>
      <w:divsChild>
        <w:div w:id="996960112">
          <w:marLeft w:val="0"/>
          <w:marRight w:val="0"/>
          <w:marTop w:val="0"/>
          <w:marBottom w:val="0"/>
          <w:divBdr>
            <w:top w:val="none" w:sz="0" w:space="0" w:color="auto"/>
            <w:left w:val="none" w:sz="0" w:space="0" w:color="auto"/>
            <w:bottom w:val="none" w:sz="0" w:space="0" w:color="auto"/>
            <w:right w:val="none" w:sz="0" w:space="0" w:color="auto"/>
          </w:divBdr>
          <w:divsChild>
            <w:div w:id="55444755">
              <w:marLeft w:val="0"/>
              <w:marRight w:val="0"/>
              <w:marTop w:val="0"/>
              <w:marBottom w:val="0"/>
              <w:divBdr>
                <w:top w:val="none" w:sz="0" w:space="0" w:color="auto"/>
                <w:left w:val="none" w:sz="0" w:space="0" w:color="auto"/>
                <w:bottom w:val="none" w:sz="0" w:space="0" w:color="auto"/>
                <w:right w:val="none" w:sz="0" w:space="0" w:color="auto"/>
              </w:divBdr>
              <w:divsChild>
                <w:div w:id="1779331927">
                  <w:marLeft w:val="0"/>
                  <w:marRight w:val="0"/>
                  <w:marTop w:val="0"/>
                  <w:marBottom w:val="0"/>
                  <w:divBdr>
                    <w:top w:val="none" w:sz="0" w:space="0" w:color="auto"/>
                    <w:left w:val="none" w:sz="0" w:space="0" w:color="auto"/>
                    <w:bottom w:val="none" w:sz="0" w:space="0" w:color="auto"/>
                    <w:right w:val="none" w:sz="0" w:space="0" w:color="auto"/>
                  </w:divBdr>
                  <w:divsChild>
                    <w:div w:id="880366027">
                      <w:marLeft w:val="0"/>
                      <w:marRight w:val="0"/>
                      <w:marTop w:val="0"/>
                      <w:marBottom w:val="0"/>
                      <w:divBdr>
                        <w:top w:val="none" w:sz="0" w:space="0" w:color="auto"/>
                        <w:left w:val="none" w:sz="0" w:space="0" w:color="auto"/>
                        <w:bottom w:val="none" w:sz="0" w:space="0" w:color="auto"/>
                        <w:right w:val="none" w:sz="0" w:space="0" w:color="auto"/>
                      </w:divBdr>
                      <w:divsChild>
                        <w:div w:id="329792794">
                          <w:marLeft w:val="0"/>
                          <w:marRight w:val="0"/>
                          <w:marTop w:val="0"/>
                          <w:marBottom w:val="0"/>
                          <w:divBdr>
                            <w:top w:val="none" w:sz="0" w:space="0" w:color="auto"/>
                            <w:left w:val="none" w:sz="0" w:space="0" w:color="auto"/>
                            <w:bottom w:val="none" w:sz="0" w:space="0" w:color="auto"/>
                            <w:right w:val="none" w:sz="0" w:space="0" w:color="auto"/>
                          </w:divBdr>
                          <w:divsChild>
                            <w:div w:id="1371612326">
                              <w:marLeft w:val="0"/>
                              <w:marRight w:val="0"/>
                              <w:marTop w:val="0"/>
                              <w:marBottom w:val="0"/>
                              <w:divBdr>
                                <w:top w:val="none" w:sz="0" w:space="0" w:color="auto"/>
                                <w:left w:val="none" w:sz="0" w:space="0" w:color="auto"/>
                                <w:bottom w:val="none" w:sz="0" w:space="0" w:color="auto"/>
                                <w:right w:val="none" w:sz="0" w:space="0" w:color="auto"/>
                              </w:divBdr>
                              <w:divsChild>
                                <w:div w:id="800657164">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557410">
      <w:bodyDiv w:val="1"/>
      <w:marLeft w:val="0"/>
      <w:marRight w:val="0"/>
      <w:marTop w:val="0"/>
      <w:marBottom w:val="0"/>
      <w:divBdr>
        <w:top w:val="none" w:sz="0" w:space="0" w:color="auto"/>
        <w:left w:val="none" w:sz="0" w:space="0" w:color="auto"/>
        <w:bottom w:val="none" w:sz="0" w:space="0" w:color="auto"/>
        <w:right w:val="none" w:sz="0" w:space="0" w:color="auto"/>
      </w:divBdr>
      <w:divsChild>
        <w:div w:id="1188061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92416">
              <w:marLeft w:val="0"/>
              <w:marRight w:val="0"/>
              <w:marTop w:val="0"/>
              <w:marBottom w:val="0"/>
              <w:divBdr>
                <w:top w:val="none" w:sz="0" w:space="0" w:color="auto"/>
                <w:left w:val="none" w:sz="0" w:space="0" w:color="auto"/>
                <w:bottom w:val="none" w:sz="0" w:space="0" w:color="auto"/>
                <w:right w:val="none" w:sz="0" w:space="0" w:color="auto"/>
              </w:divBdr>
              <w:divsChild>
                <w:div w:id="75000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838501">
      <w:bodyDiv w:val="1"/>
      <w:marLeft w:val="0"/>
      <w:marRight w:val="0"/>
      <w:marTop w:val="0"/>
      <w:marBottom w:val="0"/>
      <w:divBdr>
        <w:top w:val="none" w:sz="0" w:space="0" w:color="auto"/>
        <w:left w:val="none" w:sz="0" w:space="0" w:color="auto"/>
        <w:bottom w:val="none" w:sz="0" w:space="0" w:color="auto"/>
        <w:right w:val="none" w:sz="0" w:space="0" w:color="auto"/>
      </w:divBdr>
    </w:div>
    <w:div w:id="197987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thics.gc.ca/eng/tcps2-eptc2_2018_chapter6-chapitre6.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ho.int/news-room/detail/09-01-2020-emergency-use-listing-procedure-and-roadmap-health-emergenc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o.int/who-documents-detail/emergency-use-listing-procedure" TargetMode="External"/><Relationship Id="rId5" Type="http://schemas.openxmlformats.org/officeDocument/2006/relationships/numbering" Target="numbering.xml"/><Relationship Id="rId15" Type="http://schemas.openxmlformats.org/officeDocument/2006/relationships/hyperlink" Target="https://www.ema.europa.eu/en/documents/regulatory-procedural-guideline/guideline-compassionate-use-medicinal-products-pursuant-article-83-regulation-ec-no-726/2004_en.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da.gov/regulatory-information/search-fda-guidance-documents/institutional-review-board-irb-review-individual-patient-expanded-access-requests-investigational?utm_campaign=FDA%20publishes%20guidance%20for%20IRBs%20and%20clinical%20investigators&amp;utm_medium=email&amp;utm_source=Eloqu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fro.who.int/publications/african-vaccine-regulatory-forum-avaref-strategy-and-guidance-emergency-prepared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1590D644467F4DABFCCA0BAAC12DB8" ma:contentTypeVersion="14" ma:contentTypeDescription="Create a new document." ma:contentTypeScope="" ma:versionID="3d987b5cefd87a85160cee10c2ed80e7">
  <xsd:schema xmlns:xsd="http://www.w3.org/2001/XMLSchema" xmlns:xs="http://www.w3.org/2001/XMLSchema" xmlns:p="http://schemas.microsoft.com/office/2006/metadata/properties" xmlns:ns3="355b1f69-6cf3-465d-9b4d-2e2bf2afc17d" xmlns:ns4="7b8bc772-cf73-4a55-9365-38525c84b863" targetNamespace="http://schemas.microsoft.com/office/2006/metadata/properties" ma:root="true" ma:fieldsID="97e12b491a3b1dcb53a720b8647632eb" ns3:_="" ns4:_="">
    <xsd:import namespace="355b1f69-6cf3-465d-9b4d-2e2bf2afc17d"/>
    <xsd:import namespace="7b8bc772-cf73-4a55-9365-38525c84b8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b1f69-6cf3-465d-9b4d-2e2bf2afc1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bc772-cf73-4a55-9365-38525c84b8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C9424-6D33-41CA-8A63-C1C23BB2D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b1f69-6cf3-465d-9b4d-2e2bf2afc17d"/>
    <ds:schemaRef ds:uri="7b8bc772-cf73-4a55-9365-38525c84b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A678F3-52F0-4333-94A9-2129CFE63FE5}">
  <ds:schemaRefs>
    <ds:schemaRef ds:uri="http://schemas.microsoft.com/sharepoint/v3/contenttype/forms"/>
  </ds:schemaRefs>
</ds:datastoreItem>
</file>

<file path=customXml/itemProps3.xml><?xml version="1.0" encoding="utf-8"?>
<ds:datastoreItem xmlns:ds="http://schemas.openxmlformats.org/officeDocument/2006/customXml" ds:itemID="{90F4B43B-4984-469D-B806-F4C1ED36D3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4D61D4-5FD8-47E1-8215-312103C32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4394</Words>
  <Characters>25052</Characters>
  <Application>Microsoft Office Word</Application>
  <DocSecurity>4</DocSecurity>
  <Lines>208</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Bill and Melinda Gates Foundation</Company>
  <LinksUpToDate>false</LinksUpToDate>
  <CharactersWithSpaces>29388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MAIGA, Diadié</dc:creator>
  <cp:keywords/>
  <dc:description/>
  <cp:lastModifiedBy>RODGERS, Jacqueline</cp:lastModifiedBy>
  <cp:revision>2</cp:revision>
  <cp:lastPrinted>2020-07-15T11:52:00Z</cp:lastPrinted>
  <dcterms:created xsi:type="dcterms:W3CDTF">2022-08-22T12:11:00Z</dcterms:created>
  <dcterms:modified xsi:type="dcterms:W3CDTF">2022-08-22T12:11:00Z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0x010100771590D644467F4DABFCCA0BAAC12DB8</vt:lpwstr>
  </property>
</Properties>
</file>